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A4" w:rsidRDefault="00FB04CF" w:rsidP="005A58B8">
      <w:pPr>
        <w:jc w:val="center"/>
        <w:rPr>
          <w:rFonts w:ascii="Arial Narrow" w:hAnsi="Arial Narrow" w:cs="Arial"/>
          <w:b/>
          <w:sz w:val="28"/>
          <w:szCs w:val="28"/>
        </w:rPr>
      </w:pPr>
      <w:r w:rsidRPr="00F311A5">
        <w:rPr>
          <w:rFonts w:ascii="Arial Narrow" w:hAnsi="Arial Narrow" w:cs="Arial"/>
          <w:b/>
          <w:sz w:val="28"/>
          <w:szCs w:val="28"/>
        </w:rPr>
        <w:t xml:space="preserve">Maine SIM </w:t>
      </w:r>
      <w:r w:rsidR="00A83D21" w:rsidRPr="00F311A5">
        <w:rPr>
          <w:rFonts w:ascii="Arial Narrow" w:hAnsi="Arial Narrow" w:cs="Arial"/>
          <w:b/>
          <w:sz w:val="28"/>
          <w:szCs w:val="28"/>
        </w:rPr>
        <w:t xml:space="preserve">Core </w:t>
      </w:r>
      <w:r w:rsidRPr="00F311A5">
        <w:rPr>
          <w:rFonts w:ascii="Arial Narrow" w:hAnsi="Arial Narrow" w:cs="Arial"/>
          <w:b/>
          <w:sz w:val="28"/>
          <w:szCs w:val="28"/>
        </w:rPr>
        <w:t>Metric</w:t>
      </w:r>
      <w:r w:rsidR="00245F39" w:rsidRPr="00F311A5">
        <w:rPr>
          <w:rFonts w:ascii="Arial Narrow" w:hAnsi="Arial Narrow" w:cs="Arial"/>
          <w:b/>
          <w:sz w:val="28"/>
          <w:szCs w:val="28"/>
        </w:rPr>
        <w:t>s</w:t>
      </w:r>
      <w:r w:rsidR="00A83D21" w:rsidRPr="00F311A5">
        <w:rPr>
          <w:rFonts w:ascii="Arial Narrow" w:hAnsi="Arial Narrow" w:cs="Arial"/>
          <w:b/>
          <w:sz w:val="28"/>
          <w:szCs w:val="28"/>
        </w:rPr>
        <w:t xml:space="preserve"> Selection</w:t>
      </w:r>
    </w:p>
    <w:p w:rsidR="00DE40DC" w:rsidRPr="00770B46" w:rsidRDefault="00E95BC2" w:rsidP="005A58B8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May </w:t>
      </w:r>
      <w:r w:rsidR="00ED5DED">
        <w:rPr>
          <w:rFonts w:ascii="Arial Narrow" w:hAnsi="Arial Narrow" w:cs="Arial"/>
          <w:b/>
          <w:sz w:val="24"/>
          <w:szCs w:val="24"/>
        </w:rPr>
        <w:t>2</w:t>
      </w:r>
      <w:r w:rsidR="00BE2EC8">
        <w:rPr>
          <w:rFonts w:ascii="Arial Narrow" w:hAnsi="Arial Narrow" w:cs="Arial"/>
          <w:b/>
          <w:sz w:val="24"/>
          <w:szCs w:val="24"/>
        </w:rPr>
        <w:t>1</w:t>
      </w:r>
      <w:r w:rsidR="00DE40DC" w:rsidRPr="00770B46">
        <w:rPr>
          <w:rFonts w:ascii="Arial Narrow" w:hAnsi="Arial Narrow" w:cs="Arial"/>
          <w:b/>
          <w:sz w:val="24"/>
          <w:szCs w:val="24"/>
        </w:rPr>
        <w:t>, 2014</w:t>
      </w:r>
    </w:p>
    <w:p w:rsidR="001A09A4" w:rsidRPr="00F311A5" w:rsidRDefault="001A09A4" w:rsidP="00BD36FC">
      <w:pPr>
        <w:pStyle w:val="NoSpacing"/>
        <w:rPr>
          <w:rFonts w:ascii="Arial" w:hAnsi="Arial" w:cs="Arial"/>
          <w:b/>
          <w:sz w:val="28"/>
          <w:szCs w:val="28"/>
        </w:rPr>
      </w:pPr>
    </w:p>
    <w:p w:rsidR="008B78A5" w:rsidRPr="00E61AA0" w:rsidRDefault="008B78A5" w:rsidP="00BD36FC">
      <w:pPr>
        <w:pStyle w:val="NoSpacing"/>
        <w:rPr>
          <w:rFonts w:ascii="Arial" w:hAnsi="Arial" w:cs="Arial"/>
          <w:sz w:val="20"/>
          <w:szCs w:val="20"/>
        </w:rPr>
      </w:pPr>
    </w:p>
    <w:p w:rsidR="00A66918" w:rsidRDefault="00CD5B24" w:rsidP="00FB04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 the past </w:t>
      </w:r>
      <w:r w:rsidR="000F7E94">
        <w:rPr>
          <w:rFonts w:ascii="Arial" w:hAnsi="Arial" w:cs="Arial"/>
        </w:rPr>
        <w:t xml:space="preserve">several </w:t>
      </w:r>
      <w:r>
        <w:rPr>
          <w:rFonts w:ascii="Arial" w:hAnsi="Arial" w:cs="Arial"/>
        </w:rPr>
        <w:t>months, t</w:t>
      </w:r>
      <w:r w:rsidR="00CE66FD">
        <w:rPr>
          <w:rFonts w:ascii="Arial" w:hAnsi="Arial" w:cs="Arial"/>
        </w:rPr>
        <w:t>he M</w:t>
      </w:r>
      <w:r w:rsidR="009E7FD6">
        <w:rPr>
          <w:rFonts w:ascii="Arial" w:hAnsi="Arial" w:cs="Arial"/>
        </w:rPr>
        <w:t xml:space="preserve">aine SIM </w:t>
      </w:r>
      <w:r w:rsidR="000F7E94">
        <w:rPr>
          <w:rFonts w:ascii="Arial" w:hAnsi="Arial" w:cs="Arial"/>
        </w:rPr>
        <w:t>team</w:t>
      </w:r>
      <w:r w:rsidR="001E6B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</w:t>
      </w:r>
      <w:r w:rsidR="009E7FD6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>ed</w:t>
      </w:r>
      <w:r w:rsidR="009E7FD6">
        <w:rPr>
          <w:rFonts w:ascii="Arial" w:hAnsi="Arial" w:cs="Arial"/>
        </w:rPr>
        <w:t xml:space="preserve"> to develop a core set of targeted measure</w:t>
      </w:r>
      <w:r w:rsidR="007146F7">
        <w:rPr>
          <w:rFonts w:ascii="Arial" w:hAnsi="Arial" w:cs="Arial"/>
        </w:rPr>
        <w:t xml:space="preserve">s to monitor the effectiveness </w:t>
      </w:r>
      <w:r w:rsidR="009E7FD6">
        <w:rPr>
          <w:rFonts w:ascii="Arial" w:hAnsi="Arial" w:cs="Arial"/>
        </w:rPr>
        <w:t xml:space="preserve">of the </w:t>
      </w:r>
      <w:r w:rsidR="000F7E94">
        <w:rPr>
          <w:rFonts w:ascii="Arial" w:hAnsi="Arial" w:cs="Arial"/>
        </w:rPr>
        <w:t xml:space="preserve">Maine </w:t>
      </w:r>
      <w:r w:rsidR="009E7FD6">
        <w:rPr>
          <w:rFonts w:ascii="Arial" w:hAnsi="Arial" w:cs="Arial"/>
        </w:rPr>
        <w:t xml:space="preserve">SIM Innovations in achieving the Triple Aim goals of improved health outcomes, </w:t>
      </w:r>
      <w:r w:rsidR="00FB0AE9">
        <w:rPr>
          <w:rFonts w:ascii="Arial" w:hAnsi="Arial" w:cs="Arial"/>
        </w:rPr>
        <w:t>quality,</w:t>
      </w:r>
      <w:r w:rsidR="009E7FD6">
        <w:rPr>
          <w:rFonts w:ascii="Arial" w:hAnsi="Arial" w:cs="Arial"/>
        </w:rPr>
        <w:t xml:space="preserve"> patient experience, and lower costs.  This document </w:t>
      </w:r>
      <w:r w:rsidR="000F7E94">
        <w:rPr>
          <w:rFonts w:ascii="Arial" w:hAnsi="Arial" w:cs="Arial"/>
        </w:rPr>
        <w:t>summarizes</w:t>
      </w:r>
      <w:r w:rsidR="009E7FD6">
        <w:rPr>
          <w:rFonts w:ascii="Arial" w:hAnsi="Arial" w:cs="Arial"/>
        </w:rPr>
        <w:t xml:space="preserve"> the work to date</w:t>
      </w:r>
      <w:r w:rsidR="000F7E94">
        <w:rPr>
          <w:rFonts w:ascii="Arial" w:hAnsi="Arial" w:cs="Arial"/>
        </w:rPr>
        <w:t xml:space="preserve"> in selecting a set of core metrics</w:t>
      </w:r>
      <w:r w:rsidR="009E7FD6">
        <w:rPr>
          <w:rFonts w:ascii="Arial" w:hAnsi="Arial" w:cs="Arial"/>
        </w:rPr>
        <w:t xml:space="preserve"> </w:t>
      </w:r>
      <w:r w:rsidR="000F7E94">
        <w:rPr>
          <w:rFonts w:ascii="Arial" w:hAnsi="Arial" w:cs="Arial"/>
        </w:rPr>
        <w:t>for discussion and approval</w:t>
      </w:r>
      <w:r w:rsidR="00E12433">
        <w:rPr>
          <w:rFonts w:ascii="Arial" w:hAnsi="Arial" w:cs="Arial"/>
        </w:rPr>
        <w:t xml:space="preserve"> </w:t>
      </w:r>
      <w:r w:rsidR="001E6B82">
        <w:rPr>
          <w:rFonts w:ascii="Arial" w:hAnsi="Arial" w:cs="Arial"/>
        </w:rPr>
        <w:t>at the</w:t>
      </w:r>
      <w:r w:rsidR="009126A0">
        <w:rPr>
          <w:rFonts w:ascii="Arial" w:hAnsi="Arial" w:cs="Arial"/>
        </w:rPr>
        <w:t xml:space="preserve"> May </w:t>
      </w:r>
      <w:r w:rsidR="00B53CB9" w:rsidRPr="002813C8">
        <w:rPr>
          <w:rFonts w:ascii="Arial" w:hAnsi="Arial" w:cs="Arial"/>
        </w:rPr>
        <w:t>29</w:t>
      </w:r>
      <w:r w:rsidR="009126A0">
        <w:rPr>
          <w:rFonts w:ascii="Arial" w:hAnsi="Arial" w:cs="Arial"/>
        </w:rPr>
        <w:t xml:space="preserve"> </w:t>
      </w:r>
      <w:r w:rsidR="00E12433">
        <w:rPr>
          <w:rFonts w:ascii="Arial" w:hAnsi="Arial" w:cs="Arial"/>
        </w:rPr>
        <w:t xml:space="preserve">Steering Committee </w:t>
      </w:r>
      <w:r w:rsidR="009126A0">
        <w:rPr>
          <w:rFonts w:ascii="Arial" w:hAnsi="Arial" w:cs="Arial"/>
        </w:rPr>
        <w:t>meeting.</w:t>
      </w:r>
      <w:r w:rsidR="00FB0AE9">
        <w:rPr>
          <w:rFonts w:ascii="Arial" w:hAnsi="Arial" w:cs="Arial"/>
        </w:rPr>
        <w:t xml:space="preserve"> </w:t>
      </w:r>
    </w:p>
    <w:p w:rsidR="007D2FD1" w:rsidRDefault="007D2FD1" w:rsidP="00FB04CF">
      <w:pPr>
        <w:rPr>
          <w:rFonts w:ascii="Arial" w:hAnsi="Arial" w:cs="Arial"/>
        </w:rPr>
      </w:pPr>
    </w:p>
    <w:p w:rsidR="007D2FD1" w:rsidRPr="007B7A05" w:rsidRDefault="007D2FD1" w:rsidP="00FB04CF">
      <w:pPr>
        <w:rPr>
          <w:rFonts w:ascii="Arial" w:hAnsi="Arial" w:cs="Arial"/>
          <w:b/>
          <w:sz w:val="22"/>
          <w:szCs w:val="22"/>
        </w:rPr>
      </w:pPr>
      <w:r w:rsidRPr="007B7A05">
        <w:rPr>
          <w:rFonts w:ascii="Arial" w:hAnsi="Arial" w:cs="Arial"/>
          <w:b/>
          <w:sz w:val="22"/>
          <w:szCs w:val="22"/>
        </w:rPr>
        <w:t xml:space="preserve">Process for </w:t>
      </w:r>
      <w:r w:rsidR="00E44EB9" w:rsidRPr="007B7A05">
        <w:rPr>
          <w:rFonts w:ascii="Arial" w:hAnsi="Arial" w:cs="Arial"/>
          <w:b/>
          <w:sz w:val="22"/>
          <w:szCs w:val="22"/>
        </w:rPr>
        <w:t>A</w:t>
      </w:r>
      <w:r w:rsidRPr="007B7A05">
        <w:rPr>
          <w:rFonts w:ascii="Arial" w:hAnsi="Arial" w:cs="Arial"/>
          <w:b/>
          <w:sz w:val="22"/>
          <w:szCs w:val="22"/>
        </w:rPr>
        <w:t xml:space="preserve">ssessing Maine’s SIM </w:t>
      </w:r>
      <w:r w:rsidR="00E44EB9" w:rsidRPr="007B7A05">
        <w:rPr>
          <w:rFonts w:ascii="Arial" w:hAnsi="Arial" w:cs="Arial"/>
          <w:b/>
          <w:sz w:val="22"/>
          <w:szCs w:val="22"/>
        </w:rPr>
        <w:t>M</w:t>
      </w:r>
      <w:r w:rsidRPr="007B7A05">
        <w:rPr>
          <w:rFonts w:ascii="Arial" w:hAnsi="Arial" w:cs="Arial"/>
          <w:b/>
          <w:sz w:val="22"/>
          <w:szCs w:val="22"/>
        </w:rPr>
        <w:t>etrics</w:t>
      </w:r>
      <w:bookmarkStart w:id="0" w:name="_GoBack"/>
      <w:bookmarkEnd w:id="0"/>
    </w:p>
    <w:p w:rsidR="007D2FD1" w:rsidRDefault="007D2FD1" w:rsidP="00FB04CF">
      <w:pPr>
        <w:rPr>
          <w:rFonts w:ascii="Arial" w:hAnsi="Arial" w:cs="Arial"/>
          <w:b/>
        </w:rPr>
      </w:pPr>
    </w:p>
    <w:p w:rsidR="009E7FD6" w:rsidRDefault="009E7FD6" w:rsidP="00FB04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first step in developing a set of core metrics for the Maine SIM initiative was to compile </w:t>
      </w:r>
      <w:r w:rsidR="00DD1289">
        <w:rPr>
          <w:rFonts w:ascii="Arial" w:hAnsi="Arial" w:cs="Arial"/>
        </w:rPr>
        <w:t xml:space="preserve">measures that </w:t>
      </w:r>
      <w:r w:rsidR="00BA5FB7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currently</w:t>
      </w:r>
      <w:r w:rsidR="00BB304C">
        <w:rPr>
          <w:rFonts w:ascii="Arial" w:hAnsi="Arial" w:cs="Arial"/>
        </w:rPr>
        <w:t xml:space="preserve"> tracked </w:t>
      </w:r>
      <w:r w:rsidR="00F61599">
        <w:rPr>
          <w:rFonts w:ascii="Arial" w:hAnsi="Arial" w:cs="Arial"/>
        </w:rPr>
        <w:t xml:space="preserve">and reported </w:t>
      </w:r>
      <w:r w:rsidR="00BB304C">
        <w:rPr>
          <w:rFonts w:ascii="Arial" w:hAnsi="Arial" w:cs="Arial"/>
        </w:rPr>
        <w:t xml:space="preserve">across Maine’s major SIM models (Health Homes, Behavioral Health Homes, Patient Centered Medical Homes, </w:t>
      </w:r>
      <w:r w:rsidR="00613782">
        <w:rPr>
          <w:rFonts w:ascii="Arial" w:hAnsi="Arial" w:cs="Arial"/>
        </w:rPr>
        <w:t xml:space="preserve">Commercial </w:t>
      </w:r>
      <w:r w:rsidR="00BB304C">
        <w:rPr>
          <w:rFonts w:ascii="Arial" w:hAnsi="Arial" w:cs="Arial"/>
        </w:rPr>
        <w:t>Accountable Care Implementation, and Accountable Communities)</w:t>
      </w:r>
      <w:r w:rsidR="00DD12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Stakeholders emphasized the importance of drawing on exis</w:t>
      </w:r>
      <w:r w:rsidR="00BA5FB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ing measurement efforts in the development of the core measure sets to minimize any additional reporting burdens on providers.  </w:t>
      </w:r>
      <w:r w:rsidR="0016754C">
        <w:rPr>
          <w:rFonts w:ascii="Arial" w:hAnsi="Arial" w:cs="Arial"/>
        </w:rPr>
        <w:t xml:space="preserve">A committee of representatives from the Maine SIM project management team, the Maine Health Management Coalition, Health </w:t>
      </w:r>
      <w:proofErr w:type="spellStart"/>
      <w:r w:rsidR="0016754C">
        <w:rPr>
          <w:rFonts w:ascii="Arial" w:hAnsi="Arial" w:cs="Arial"/>
        </w:rPr>
        <w:t>InfoNet</w:t>
      </w:r>
      <w:proofErr w:type="spellEnd"/>
      <w:r w:rsidR="0016754C">
        <w:rPr>
          <w:rFonts w:ascii="Arial" w:hAnsi="Arial" w:cs="Arial"/>
        </w:rPr>
        <w:t xml:space="preserve">, </w:t>
      </w:r>
      <w:proofErr w:type="spellStart"/>
      <w:r w:rsidR="009B6A68">
        <w:rPr>
          <w:rFonts w:ascii="Arial" w:hAnsi="Arial" w:cs="Arial"/>
        </w:rPr>
        <w:t>MaineHealth</w:t>
      </w:r>
      <w:proofErr w:type="spellEnd"/>
      <w:r w:rsidR="009B6A68">
        <w:rPr>
          <w:rFonts w:ascii="Arial" w:hAnsi="Arial" w:cs="Arial"/>
        </w:rPr>
        <w:t xml:space="preserve">, </w:t>
      </w:r>
      <w:r w:rsidR="0016754C">
        <w:rPr>
          <w:rFonts w:ascii="Arial" w:hAnsi="Arial" w:cs="Arial"/>
        </w:rPr>
        <w:t>and Penobscot Community Health Care</w:t>
      </w:r>
      <w:r w:rsidR="00FB0AE9">
        <w:rPr>
          <w:rFonts w:ascii="Arial" w:hAnsi="Arial" w:cs="Arial"/>
        </w:rPr>
        <w:t>, with support from the NORC and RIT technical assistance teams,</w:t>
      </w:r>
      <w:r w:rsidR="0016754C">
        <w:rPr>
          <w:rFonts w:ascii="Arial" w:hAnsi="Arial" w:cs="Arial"/>
        </w:rPr>
        <w:t xml:space="preserve"> evaluated this broad set of metrics against</w:t>
      </w:r>
      <w:r>
        <w:rPr>
          <w:rFonts w:ascii="Arial" w:hAnsi="Arial" w:cs="Arial"/>
        </w:rPr>
        <w:t xml:space="preserve"> the following criteria:</w:t>
      </w:r>
    </w:p>
    <w:p w:rsidR="009E7FD6" w:rsidRPr="00BA5FB7" w:rsidRDefault="009E7FD6" w:rsidP="00BA5FB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A5FB7">
        <w:rPr>
          <w:rFonts w:ascii="Arial" w:hAnsi="Arial" w:cs="Arial"/>
        </w:rPr>
        <w:t>Alignment across multiple model</w:t>
      </w:r>
      <w:r w:rsidR="00245F39">
        <w:rPr>
          <w:rFonts w:ascii="Arial" w:hAnsi="Arial" w:cs="Arial"/>
        </w:rPr>
        <w:t xml:space="preserve"> measure sets</w:t>
      </w:r>
    </w:p>
    <w:p w:rsidR="00BA5FB7" w:rsidRDefault="00245F39" w:rsidP="00BA5FB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Alignment with</w:t>
      </w:r>
      <w:r w:rsidR="009E7FD6" w:rsidRPr="00BA5FB7">
        <w:rPr>
          <w:rFonts w:ascii="Arial" w:hAnsi="Arial" w:cs="Arial"/>
        </w:rPr>
        <w:t xml:space="preserve"> SIM strategic pillars</w:t>
      </w:r>
      <w:r w:rsidR="00BA5FB7" w:rsidRPr="00BA5FB7">
        <w:rPr>
          <w:rFonts w:ascii="Arial" w:hAnsi="Arial" w:cs="Arial"/>
        </w:rPr>
        <w:t xml:space="preserve"> and Triple Aim goals</w:t>
      </w:r>
    </w:p>
    <w:p w:rsidR="0016754C" w:rsidRPr="00BA5FB7" w:rsidRDefault="0016754C" w:rsidP="00BA5FB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Address priority domains of measurement recommended by Commissioner Mary Mayhew, including emergency department use, readmissions, imaging, and care coordination.</w:t>
      </w:r>
    </w:p>
    <w:p w:rsidR="00BA5FB7" w:rsidRPr="00BA5FB7" w:rsidRDefault="00BA5FB7" w:rsidP="00BA5FB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A5FB7">
        <w:rPr>
          <w:rFonts w:ascii="Arial" w:hAnsi="Arial" w:cs="Arial"/>
        </w:rPr>
        <w:t>Reflect a mix of process and outcomes and short and long term impacts</w:t>
      </w:r>
    </w:p>
    <w:p w:rsidR="00BA5FB7" w:rsidRPr="00BA5FB7" w:rsidRDefault="00BA5FB7" w:rsidP="00BA5FB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A5FB7">
        <w:rPr>
          <w:rFonts w:ascii="Arial" w:hAnsi="Arial" w:cs="Arial"/>
        </w:rPr>
        <w:t>Address populations prevalent in Medicaid (children, behavioral health,</w:t>
      </w:r>
      <w:r w:rsidR="00245F39">
        <w:rPr>
          <w:rFonts w:ascii="Arial" w:hAnsi="Arial" w:cs="Arial"/>
        </w:rPr>
        <w:t xml:space="preserve"> </w:t>
      </w:r>
      <w:r w:rsidRPr="00BA5FB7">
        <w:rPr>
          <w:rFonts w:ascii="Arial" w:hAnsi="Arial" w:cs="Arial"/>
        </w:rPr>
        <w:t>disabilities)</w:t>
      </w:r>
    </w:p>
    <w:p w:rsidR="00BA5FB7" w:rsidRDefault="00BA5FB7" w:rsidP="00BA5FB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A5FB7">
        <w:rPr>
          <w:rFonts w:ascii="Arial" w:hAnsi="Arial" w:cs="Arial"/>
        </w:rPr>
        <w:t>Safeguard agains</w:t>
      </w:r>
      <w:r w:rsidR="00106413">
        <w:rPr>
          <w:rFonts w:ascii="Arial" w:hAnsi="Arial" w:cs="Arial"/>
        </w:rPr>
        <w:t>t</w:t>
      </w:r>
      <w:r w:rsidRPr="00BA5FB7">
        <w:rPr>
          <w:rFonts w:ascii="Arial" w:hAnsi="Arial" w:cs="Arial"/>
        </w:rPr>
        <w:t xml:space="preserve"> </w:t>
      </w:r>
      <w:r w:rsidR="00B53CB9">
        <w:rPr>
          <w:rFonts w:ascii="Arial" w:hAnsi="Arial" w:cs="Arial"/>
        </w:rPr>
        <w:t>restrictive patient/client selection practices (</w:t>
      </w:r>
      <w:r w:rsidR="00DE40DC">
        <w:rPr>
          <w:rFonts w:ascii="Arial" w:hAnsi="Arial" w:cs="Arial"/>
        </w:rPr>
        <w:t>i.e., creaming</w:t>
      </w:r>
      <w:r w:rsidR="004A02AB">
        <w:rPr>
          <w:rFonts w:ascii="Arial" w:hAnsi="Arial" w:cs="Arial"/>
        </w:rPr>
        <w:t xml:space="preserve">, </w:t>
      </w:r>
      <w:r w:rsidRPr="00BA5FB7">
        <w:rPr>
          <w:rFonts w:ascii="Arial" w:hAnsi="Arial" w:cs="Arial"/>
        </w:rPr>
        <w:t xml:space="preserve">skimping, and </w:t>
      </w:r>
      <w:r w:rsidR="00194081">
        <w:rPr>
          <w:rFonts w:ascii="Arial" w:hAnsi="Arial" w:cs="Arial"/>
        </w:rPr>
        <w:t>premature</w:t>
      </w:r>
      <w:r w:rsidR="009126A0">
        <w:rPr>
          <w:rFonts w:ascii="Arial" w:hAnsi="Arial" w:cs="Arial"/>
        </w:rPr>
        <w:t xml:space="preserve"> </w:t>
      </w:r>
      <w:r w:rsidR="00B53CB9">
        <w:rPr>
          <w:rFonts w:ascii="Arial" w:hAnsi="Arial" w:cs="Arial"/>
        </w:rPr>
        <w:t>discharge of patients)</w:t>
      </w:r>
    </w:p>
    <w:p w:rsidR="00161312" w:rsidRDefault="00161312" w:rsidP="00BA5FB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Address the Center for Medicare and Medicaid Innovation (CMMI’s) core measurement</w:t>
      </w:r>
      <w:r w:rsidR="00194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areas related to population health (diabetes, obesity, and tobacco control).</w:t>
      </w:r>
    </w:p>
    <w:p w:rsidR="009126A0" w:rsidRPr="009126A0" w:rsidRDefault="009126A0" w:rsidP="005A58B8">
      <w:pPr>
        <w:rPr>
          <w:rFonts w:ascii="Arial" w:hAnsi="Arial" w:cs="Arial"/>
          <w:sz w:val="22"/>
          <w:szCs w:val="22"/>
        </w:rPr>
      </w:pPr>
    </w:p>
    <w:p w:rsidR="005A58B8" w:rsidRPr="005A58B8" w:rsidRDefault="005A58B8" w:rsidP="005A58B8">
      <w:pPr>
        <w:rPr>
          <w:rFonts w:ascii="Arial" w:hAnsi="Arial" w:cs="Arial"/>
          <w:b/>
          <w:sz w:val="22"/>
          <w:szCs w:val="22"/>
        </w:rPr>
      </w:pPr>
      <w:r w:rsidRPr="005A58B8">
        <w:rPr>
          <w:rFonts w:ascii="Arial" w:hAnsi="Arial" w:cs="Arial"/>
          <w:b/>
          <w:sz w:val="22"/>
          <w:szCs w:val="22"/>
        </w:rPr>
        <w:t>M</w:t>
      </w:r>
      <w:r w:rsidR="00CD3C62">
        <w:rPr>
          <w:rFonts w:ascii="Arial" w:hAnsi="Arial" w:cs="Arial"/>
          <w:b/>
          <w:sz w:val="22"/>
          <w:szCs w:val="22"/>
        </w:rPr>
        <w:t>easure</w:t>
      </w:r>
      <w:r w:rsidRPr="005A58B8">
        <w:rPr>
          <w:rFonts w:ascii="Arial" w:hAnsi="Arial" w:cs="Arial"/>
          <w:b/>
          <w:sz w:val="22"/>
          <w:szCs w:val="22"/>
        </w:rPr>
        <w:t>s</w:t>
      </w:r>
      <w:r w:rsidR="001E6B82">
        <w:rPr>
          <w:rFonts w:ascii="Arial" w:hAnsi="Arial" w:cs="Arial"/>
          <w:b/>
          <w:sz w:val="22"/>
          <w:szCs w:val="22"/>
        </w:rPr>
        <w:t xml:space="preserve"> Recommended by the Core </w:t>
      </w:r>
      <w:r w:rsidR="00CD5B24">
        <w:rPr>
          <w:rFonts w:ascii="Arial" w:hAnsi="Arial" w:cs="Arial"/>
          <w:b/>
          <w:sz w:val="22"/>
          <w:szCs w:val="22"/>
        </w:rPr>
        <w:t xml:space="preserve">Metrics </w:t>
      </w:r>
      <w:r w:rsidR="001E6B82">
        <w:rPr>
          <w:rFonts w:ascii="Arial" w:hAnsi="Arial" w:cs="Arial"/>
          <w:b/>
          <w:sz w:val="22"/>
          <w:szCs w:val="22"/>
        </w:rPr>
        <w:t>Committee</w:t>
      </w:r>
    </w:p>
    <w:p w:rsidR="00BA5FB7" w:rsidRDefault="009E7FD6" w:rsidP="00BA5F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09A3" w:rsidRDefault="009B6A68" w:rsidP="00FB04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 </w:t>
      </w:r>
      <w:r w:rsidR="00CD3C62">
        <w:rPr>
          <w:rFonts w:ascii="Arial" w:hAnsi="Arial" w:cs="Arial"/>
        </w:rPr>
        <w:t xml:space="preserve">1 </w:t>
      </w:r>
      <w:r w:rsidR="00096908">
        <w:rPr>
          <w:rFonts w:ascii="Arial" w:hAnsi="Arial" w:cs="Arial"/>
        </w:rPr>
        <w:t xml:space="preserve">below </w:t>
      </w:r>
      <w:r w:rsidR="000F7E94">
        <w:rPr>
          <w:rFonts w:ascii="Arial" w:hAnsi="Arial" w:cs="Arial"/>
        </w:rPr>
        <w:t>show</w:t>
      </w:r>
      <w:r w:rsidR="0016754C">
        <w:rPr>
          <w:rFonts w:ascii="Arial" w:hAnsi="Arial" w:cs="Arial"/>
        </w:rPr>
        <w:t>s</w:t>
      </w:r>
      <w:r w:rsidR="000F7E94">
        <w:rPr>
          <w:rFonts w:ascii="Arial" w:hAnsi="Arial" w:cs="Arial"/>
        </w:rPr>
        <w:t xml:space="preserve"> </w:t>
      </w:r>
      <w:r w:rsidR="00CD3C62">
        <w:rPr>
          <w:rFonts w:ascii="Arial" w:hAnsi="Arial" w:cs="Arial"/>
        </w:rPr>
        <w:t xml:space="preserve">the measures </w:t>
      </w:r>
      <w:r w:rsidR="0016754C">
        <w:rPr>
          <w:rFonts w:ascii="Arial" w:hAnsi="Arial" w:cs="Arial"/>
        </w:rPr>
        <w:t>recommended by the Core Metrics Committee</w:t>
      </w:r>
      <w:r w:rsidR="00CD3C62">
        <w:rPr>
          <w:rFonts w:ascii="Arial" w:hAnsi="Arial" w:cs="Arial"/>
        </w:rPr>
        <w:t>.</w:t>
      </w:r>
      <w:r w:rsidR="0016754C">
        <w:rPr>
          <w:rFonts w:ascii="Arial" w:hAnsi="Arial" w:cs="Arial"/>
        </w:rPr>
        <w:t xml:space="preserve">  The table provides information about which SIM initiatives are currently reporting on the measure, which of the triple aim outcomes and strategic pillars </w:t>
      </w:r>
      <w:r w:rsidR="00CE01A1">
        <w:rPr>
          <w:rFonts w:ascii="Arial" w:hAnsi="Arial" w:cs="Arial"/>
        </w:rPr>
        <w:t>the measure maps to, and a brief description of the Committee’s rational</w:t>
      </w:r>
      <w:r w:rsidR="005A2671">
        <w:rPr>
          <w:rFonts w:ascii="Arial" w:hAnsi="Arial" w:cs="Arial"/>
        </w:rPr>
        <w:t>e</w:t>
      </w:r>
      <w:r w:rsidR="00CE01A1">
        <w:rPr>
          <w:rFonts w:ascii="Arial" w:hAnsi="Arial" w:cs="Arial"/>
        </w:rPr>
        <w:t xml:space="preserve"> for including the measure.</w:t>
      </w:r>
      <w:r w:rsidR="0016754C">
        <w:rPr>
          <w:rFonts w:ascii="Arial" w:hAnsi="Arial" w:cs="Arial"/>
        </w:rPr>
        <w:t xml:space="preserve"> </w:t>
      </w:r>
      <w:r w:rsidR="00CD3C62">
        <w:rPr>
          <w:rFonts w:ascii="Arial" w:hAnsi="Arial" w:cs="Arial"/>
        </w:rPr>
        <w:t xml:space="preserve"> </w:t>
      </w:r>
      <w:r w:rsidR="00EC2F5F">
        <w:rPr>
          <w:rFonts w:ascii="Arial" w:hAnsi="Arial" w:cs="Arial"/>
        </w:rPr>
        <w:t>Table 2 lists the measures</w:t>
      </w:r>
      <w:r w:rsidR="00621D71" w:rsidRPr="00E84F5D">
        <w:rPr>
          <w:rFonts w:ascii="Arial" w:hAnsi="Arial" w:cs="Arial"/>
        </w:rPr>
        <w:t xml:space="preserve"> </w:t>
      </w:r>
      <w:r w:rsidR="00EC2F5F">
        <w:rPr>
          <w:rFonts w:ascii="Arial" w:hAnsi="Arial" w:cs="Arial"/>
        </w:rPr>
        <w:t>that were initially considered for inclusion in the core set and</w:t>
      </w:r>
      <w:r>
        <w:rPr>
          <w:rFonts w:ascii="Arial" w:hAnsi="Arial" w:cs="Arial"/>
        </w:rPr>
        <w:t xml:space="preserve"> provides</w:t>
      </w:r>
      <w:r w:rsidR="00EC2F5F">
        <w:rPr>
          <w:rFonts w:ascii="Arial" w:hAnsi="Arial" w:cs="Arial"/>
        </w:rPr>
        <w:t xml:space="preserve"> </w:t>
      </w:r>
      <w:r w:rsidR="00CE01A1">
        <w:rPr>
          <w:rFonts w:ascii="Arial" w:hAnsi="Arial" w:cs="Arial"/>
        </w:rPr>
        <w:t>information about why they were not selected by the Committee</w:t>
      </w:r>
      <w:r w:rsidR="00EC2F5F">
        <w:rPr>
          <w:rFonts w:ascii="Arial" w:hAnsi="Arial" w:cs="Arial"/>
        </w:rPr>
        <w:t>.</w:t>
      </w:r>
    </w:p>
    <w:p w:rsidR="005609A3" w:rsidRDefault="005609A3" w:rsidP="00FB04CF">
      <w:pPr>
        <w:rPr>
          <w:rFonts w:ascii="Arial" w:hAnsi="Arial" w:cs="Arial"/>
        </w:rPr>
      </w:pPr>
    </w:p>
    <w:p w:rsidR="009B6A68" w:rsidRPr="009B6A68" w:rsidRDefault="005609A3" w:rsidP="00FB04CF">
      <w:pPr>
        <w:rPr>
          <w:rFonts w:ascii="Arial" w:hAnsi="Arial" w:cs="Arial"/>
          <w:sz w:val="22"/>
        </w:rPr>
      </w:pPr>
      <w:r w:rsidRPr="005609A3">
        <w:rPr>
          <w:rFonts w:ascii="Arial" w:hAnsi="Arial" w:cs="Arial"/>
          <w:b/>
          <w:sz w:val="22"/>
        </w:rPr>
        <w:t>Gaps</w:t>
      </w:r>
    </w:p>
    <w:p w:rsidR="009B6A68" w:rsidRPr="009B6A68" w:rsidRDefault="009B6A68" w:rsidP="00FB04CF">
      <w:pPr>
        <w:rPr>
          <w:rFonts w:ascii="Arial" w:hAnsi="Arial" w:cs="Arial"/>
          <w:sz w:val="22"/>
        </w:rPr>
      </w:pPr>
    </w:p>
    <w:p w:rsidR="009B6A68" w:rsidRPr="00953274" w:rsidRDefault="00BF0862" w:rsidP="00FB04CF">
      <w:pPr>
        <w:rPr>
          <w:rFonts w:ascii="Arial" w:hAnsi="Arial" w:cs="Arial"/>
        </w:rPr>
        <w:sectPr w:rsidR="009B6A68" w:rsidRPr="00953274" w:rsidSect="001A09A4"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  <w:r w:rsidRPr="00BE2EC8">
        <w:rPr>
          <w:rFonts w:ascii="Arial" w:hAnsi="Arial" w:cs="Arial"/>
        </w:rPr>
        <w:t xml:space="preserve">The core metric set </w:t>
      </w:r>
      <w:r w:rsidR="004650C7" w:rsidRPr="00BE2EC8">
        <w:rPr>
          <w:rFonts w:ascii="Arial" w:hAnsi="Arial" w:cs="Arial"/>
        </w:rPr>
        <w:t xml:space="preserve">was not intended to </w:t>
      </w:r>
      <w:r w:rsidR="002A2F4B" w:rsidRPr="00BE2EC8">
        <w:rPr>
          <w:rFonts w:ascii="Arial" w:hAnsi="Arial" w:cs="Arial"/>
        </w:rPr>
        <w:t>include all of the</w:t>
      </w:r>
      <w:r w:rsidR="004650C7" w:rsidRPr="00BE2EC8">
        <w:rPr>
          <w:rFonts w:ascii="Arial" w:hAnsi="Arial" w:cs="Arial"/>
        </w:rPr>
        <w:t xml:space="preserve"> measures that will be used to evaluate</w:t>
      </w:r>
      <w:r w:rsidR="00983A6B" w:rsidRPr="00BE2EC8">
        <w:rPr>
          <w:rFonts w:ascii="Arial" w:hAnsi="Arial" w:cs="Arial"/>
        </w:rPr>
        <w:t xml:space="preserve"> the Maine SIM initiative, </w:t>
      </w:r>
      <w:r w:rsidR="002A2F4B" w:rsidRPr="00BE2EC8">
        <w:rPr>
          <w:rFonts w:ascii="Arial" w:hAnsi="Arial" w:cs="Arial"/>
        </w:rPr>
        <w:t xml:space="preserve">so some gaps </w:t>
      </w:r>
      <w:r w:rsidR="00AE306E" w:rsidRPr="00BE2EC8">
        <w:rPr>
          <w:rFonts w:ascii="Arial" w:hAnsi="Arial" w:cs="Arial"/>
        </w:rPr>
        <w:t>inherent</w:t>
      </w:r>
      <w:r w:rsidR="00983A6B" w:rsidRPr="00BE2EC8">
        <w:rPr>
          <w:rFonts w:ascii="Arial" w:hAnsi="Arial" w:cs="Arial"/>
        </w:rPr>
        <w:t xml:space="preserve">ly </w:t>
      </w:r>
      <w:r w:rsidR="002A2F4B" w:rsidRPr="00BE2EC8">
        <w:rPr>
          <w:rFonts w:ascii="Arial" w:hAnsi="Arial" w:cs="Arial"/>
        </w:rPr>
        <w:t xml:space="preserve">exist.  </w:t>
      </w:r>
      <w:r w:rsidR="00AE306E" w:rsidRPr="00BE2EC8">
        <w:rPr>
          <w:rFonts w:ascii="Arial" w:hAnsi="Arial" w:cs="Arial"/>
        </w:rPr>
        <w:t>Although t</w:t>
      </w:r>
      <w:r w:rsidR="004F60BD" w:rsidRPr="00BE2EC8">
        <w:rPr>
          <w:rFonts w:ascii="Arial" w:hAnsi="Arial" w:cs="Arial"/>
        </w:rPr>
        <w:t>he</w:t>
      </w:r>
      <w:r w:rsidR="001D048D" w:rsidRPr="00BE2EC8">
        <w:rPr>
          <w:rFonts w:ascii="Arial" w:hAnsi="Arial" w:cs="Arial"/>
        </w:rPr>
        <w:t xml:space="preserve"> measures recommended for the core metric set (Table 1) collectively represent all of the Triple Aim outcomes and SIM strategic pillars</w:t>
      </w:r>
      <w:r w:rsidR="00736475" w:rsidRPr="00BE2EC8">
        <w:rPr>
          <w:rFonts w:ascii="Arial" w:hAnsi="Arial" w:cs="Arial"/>
        </w:rPr>
        <w:t xml:space="preserve">, </w:t>
      </w:r>
      <w:r w:rsidR="001D048D" w:rsidRPr="00BE2EC8">
        <w:rPr>
          <w:rFonts w:ascii="Arial" w:hAnsi="Arial" w:cs="Arial"/>
        </w:rPr>
        <w:t xml:space="preserve">representation is weaker </w:t>
      </w:r>
      <w:r w:rsidR="002A2F4B" w:rsidRPr="00BE2EC8">
        <w:rPr>
          <w:rFonts w:ascii="Arial" w:hAnsi="Arial" w:cs="Arial"/>
        </w:rPr>
        <w:t>for</w:t>
      </w:r>
      <w:r w:rsidR="00F142C4" w:rsidRPr="00BE2EC8">
        <w:rPr>
          <w:rFonts w:ascii="Arial" w:hAnsi="Arial" w:cs="Arial"/>
        </w:rPr>
        <w:t xml:space="preserve"> s</w:t>
      </w:r>
      <w:r w:rsidR="00AE306E" w:rsidRPr="00BE2EC8">
        <w:rPr>
          <w:rFonts w:ascii="Arial" w:hAnsi="Arial" w:cs="Arial"/>
        </w:rPr>
        <w:t xml:space="preserve">everal </w:t>
      </w:r>
      <w:r w:rsidR="00F142C4" w:rsidRPr="00BE2EC8">
        <w:rPr>
          <w:rFonts w:ascii="Arial" w:hAnsi="Arial" w:cs="Arial"/>
        </w:rPr>
        <w:t xml:space="preserve">pillars and outcomes. </w:t>
      </w:r>
      <w:r w:rsidR="00BE2EC8" w:rsidRPr="00BE2EC8">
        <w:rPr>
          <w:rFonts w:ascii="Arial" w:hAnsi="Arial" w:cs="Arial"/>
        </w:rPr>
        <w:t>Some</w:t>
      </w:r>
      <w:r w:rsidR="0065638A" w:rsidRPr="00BE2EC8">
        <w:rPr>
          <w:rFonts w:ascii="Arial" w:hAnsi="Arial" w:cs="Arial"/>
        </w:rPr>
        <w:t xml:space="preserve"> </w:t>
      </w:r>
      <w:r w:rsidR="00CA285C" w:rsidRPr="00BE2EC8">
        <w:rPr>
          <w:rFonts w:ascii="Arial" w:hAnsi="Arial" w:cs="Arial"/>
        </w:rPr>
        <w:t xml:space="preserve">of these </w:t>
      </w:r>
      <w:r w:rsidR="0065638A" w:rsidRPr="00BE2EC8">
        <w:rPr>
          <w:rFonts w:ascii="Arial" w:hAnsi="Arial" w:cs="Arial"/>
        </w:rPr>
        <w:t xml:space="preserve">gaps </w:t>
      </w:r>
      <w:r w:rsidR="002A2F4B" w:rsidRPr="00BE2EC8">
        <w:rPr>
          <w:rFonts w:ascii="Arial" w:hAnsi="Arial" w:cs="Arial"/>
        </w:rPr>
        <w:t>are</w:t>
      </w:r>
      <w:r w:rsidR="0065638A" w:rsidRPr="00BE2EC8">
        <w:rPr>
          <w:rFonts w:ascii="Arial" w:hAnsi="Arial" w:cs="Arial"/>
        </w:rPr>
        <w:t xml:space="preserve"> </w:t>
      </w:r>
      <w:r w:rsidR="00CA285C" w:rsidRPr="00BE2EC8">
        <w:rPr>
          <w:rFonts w:ascii="Arial" w:hAnsi="Arial" w:cs="Arial"/>
        </w:rPr>
        <w:t>due to data limitations</w:t>
      </w:r>
      <w:r w:rsidR="00D01D60">
        <w:rPr>
          <w:rFonts w:ascii="Arial" w:hAnsi="Arial" w:cs="Arial"/>
        </w:rPr>
        <w:t xml:space="preserve"> </w:t>
      </w:r>
      <w:proofErr w:type="gramStart"/>
      <w:r w:rsidR="00D01D60">
        <w:rPr>
          <w:rFonts w:ascii="Arial" w:hAnsi="Arial" w:cs="Arial"/>
        </w:rPr>
        <w:t>and</w:t>
      </w:r>
      <w:proofErr w:type="gramEnd"/>
      <w:r w:rsidR="00D01D60">
        <w:rPr>
          <w:rFonts w:ascii="Arial" w:hAnsi="Arial" w:cs="Arial"/>
        </w:rPr>
        <w:t xml:space="preserve"> </w:t>
      </w:r>
      <w:r w:rsidR="00F142C4" w:rsidRPr="00BE2EC8">
        <w:rPr>
          <w:rFonts w:ascii="Arial" w:hAnsi="Arial" w:cs="Arial"/>
        </w:rPr>
        <w:t xml:space="preserve">others </w:t>
      </w:r>
      <w:r w:rsidR="00731799">
        <w:rPr>
          <w:rFonts w:ascii="Arial" w:hAnsi="Arial" w:cs="Arial"/>
        </w:rPr>
        <w:t xml:space="preserve">are a result of </w:t>
      </w:r>
      <w:r w:rsidR="0065638A" w:rsidRPr="00BE2EC8">
        <w:rPr>
          <w:rFonts w:ascii="Arial" w:hAnsi="Arial" w:cs="Arial"/>
        </w:rPr>
        <w:t>selecting a limited number of core measures for the SIM dashboard</w:t>
      </w:r>
      <w:r w:rsidR="00CA285C" w:rsidRPr="00BE2EC8">
        <w:rPr>
          <w:rFonts w:ascii="Arial" w:hAnsi="Arial" w:cs="Arial"/>
        </w:rPr>
        <w:t>.</w:t>
      </w:r>
    </w:p>
    <w:p w:rsidR="00A83D21" w:rsidRPr="00E253A6" w:rsidRDefault="0042180E" w:rsidP="00FB04CF">
      <w:pPr>
        <w:rPr>
          <w:rFonts w:ascii="Arial" w:hAnsi="Arial" w:cs="Arial"/>
          <w:b/>
        </w:rPr>
      </w:pPr>
      <w:r w:rsidRPr="0042180E">
        <w:rPr>
          <w:rFonts w:ascii="Arial" w:hAnsi="Arial" w:cs="Arial"/>
          <w:b/>
        </w:rPr>
        <w:lastRenderedPageBreak/>
        <w:t xml:space="preserve">Table 1: </w:t>
      </w:r>
      <w:r w:rsidR="00BE20CD">
        <w:rPr>
          <w:rFonts w:ascii="Arial" w:hAnsi="Arial" w:cs="Arial"/>
          <w:b/>
        </w:rPr>
        <w:t>Recommended Measures</w:t>
      </w:r>
    </w:p>
    <w:tbl>
      <w:tblPr>
        <w:tblStyle w:val="TableGrid"/>
        <w:tblpPr w:leftFromText="180" w:rightFromText="180" w:vertAnchor="text" w:horzAnchor="margin" w:tblpY="7"/>
        <w:tblW w:w="13248" w:type="dxa"/>
        <w:tblLayout w:type="fixed"/>
        <w:tblLook w:val="04A0" w:firstRow="1" w:lastRow="0" w:firstColumn="1" w:lastColumn="0" w:noHBand="0" w:noVBand="1"/>
      </w:tblPr>
      <w:tblGrid>
        <w:gridCol w:w="5688"/>
        <w:gridCol w:w="2970"/>
        <w:gridCol w:w="1350"/>
        <w:gridCol w:w="1530"/>
        <w:gridCol w:w="1710"/>
      </w:tblGrid>
      <w:tr w:rsidR="00810A06" w:rsidTr="00810A06">
        <w:tc>
          <w:tcPr>
            <w:tcW w:w="5688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center"/>
          </w:tcPr>
          <w:p w:rsidR="00810A06" w:rsidRPr="00987A5D" w:rsidRDefault="00810A06" w:rsidP="00810A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A5D">
              <w:rPr>
                <w:rFonts w:ascii="Arial" w:hAnsi="Arial" w:cs="Arial"/>
                <w:b/>
                <w:color w:val="FFFFFF" w:themeColor="background1"/>
              </w:rPr>
              <w:t>Measure</w:t>
            </w:r>
          </w:p>
        </w:tc>
        <w:tc>
          <w:tcPr>
            <w:tcW w:w="2970" w:type="dxa"/>
            <w:shd w:val="clear" w:color="auto" w:fill="31849B" w:themeFill="accent5" w:themeFillShade="BF"/>
            <w:vAlign w:val="center"/>
          </w:tcPr>
          <w:p w:rsidR="00810A06" w:rsidRPr="00987A5D" w:rsidRDefault="00810A06" w:rsidP="00810A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A5D">
              <w:rPr>
                <w:rFonts w:ascii="Arial" w:hAnsi="Arial" w:cs="Arial"/>
                <w:b/>
                <w:color w:val="FFFFFF" w:themeColor="background1"/>
              </w:rPr>
              <w:t>SIM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Initiatives</w:t>
            </w:r>
            <w:r w:rsidRPr="00987A5D">
              <w:rPr>
                <w:rFonts w:ascii="Arial" w:hAnsi="Arial" w:cs="Arial"/>
                <w:b/>
                <w:color w:val="FFFFFF" w:themeColor="background1"/>
              </w:rPr>
              <w:t xml:space="preserve"> Using Measure</w:t>
            </w:r>
          </w:p>
        </w:tc>
        <w:tc>
          <w:tcPr>
            <w:tcW w:w="1350" w:type="dxa"/>
            <w:shd w:val="clear" w:color="auto" w:fill="31849B" w:themeFill="accent5" w:themeFillShade="BF"/>
            <w:vAlign w:val="center"/>
          </w:tcPr>
          <w:p w:rsidR="00810A06" w:rsidRPr="00987A5D" w:rsidRDefault="00810A06" w:rsidP="00810A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Strategic Pillars*</w:t>
            </w:r>
          </w:p>
        </w:tc>
        <w:tc>
          <w:tcPr>
            <w:tcW w:w="1530" w:type="dxa"/>
            <w:shd w:val="clear" w:color="auto" w:fill="31849B" w:themeFill="accent5" w:themeFillShade="BF"/>
            <w:vAlign w:val="center"/>
          </w:tcPr>
          <w:p w:rsidR="00810A06" w:rsidRPr="00987A5D" w:rsidRDefault="00810A06" w:rsidP="00810A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Triple Aim Outcomes**</w:t>
            </w:r>
          </w:p>
        </w:tc>
        <w:tc>
          <w:tcPr>
            <w:tcW w:w="1710" w:type="dxa"/>
            <w:shd w:val="clear" w:color="auto" w:fill="31849B" w:themeFill="accent5" w:themeFillShade="BF"/>
            <w:vAlign w:val="center"/>
          </w:tcPr>
          <w:p w:rsidR="00810A06" w:rsidRDefault="00810A06" w:rsidP="007B511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Rationale</w:t>
            </w:r>
          </w:p>
        </w:tc>
      </w:tr>
      <w:tr w:rsidR="00810A06" w:rsidTr="00810A06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810A06" w:rsidRPr="00810A06" w:rsidRDefault="00810A06" w:rsidP="00810A06">
            <w:pPr>
              <w:rPr>
                <w:rFonts w:ascii="Arial" w:hAnsi="Arial" w:cs="Arial"/>
                <w:b/>
              </w:rPr>
            </w:pPr>
            <w:r w:rsidRPr="00810A06">
              <w:rPr>
                <w:rFonts w:ascii="Arial" w:hAnsi="Arial" w:cs="Arial"/>
                <w:b/>
                <w:color w:val="FFFFFF" w:themeColor="background1"/>
              </w:rPr>
              <w:t>ED Utilization</w:t>
            </w:r>
          </w:p>
        </w:tc>
      </w:tr>
      <w:tr w:rsidR="00810A06" w:rsidTr="000449C8">
        <w:trPr>
          <w:trHeight w:val="1802"/>
        </w:trPr>
        <w:tc>
          <w:tcPr>
            <w:tcW w:w="5688" w:type="dxa"/>
            <w:vAlign w:val="center"/>
          </w:tcPr>
          <w:p w:rsidR="00810A06" w:rsidRPr="00331DD5" w:rsidRDefault="00810A06" w:rsidP="00810A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Non-emergent ED use: Based on </w:t>
            </w:r>
            <w:r w:rsidRPr="00141182">
              <w:rPr>
                <w:rFonts w:ascii="Arial" w:hAnsi="Arial" w:cs="Arial"/>
              </w:rPr>
              <w:t>Maine list of 14 diagnoses identified as preventable</w:t>
            </w:r>
            <w:r>
              <w:rPr>
                <w:rFonts w:ascii="Arial" w:hAnsi="Arial" w:cs="Arial"/>
              </w:rPr>
              <w:t xml:space="preserve"> in A Maine ED study</w:t>
            </w:r>
            <w:r w:rsidRPr="00141182">
              <w:rPr>
                <w:rFonts w:ascii="Arial" w:hAnsi="Arial" w:cs="Arial"/>
              </w:rPr>
              <w:t>, including: sore throat; viral infection; anxiety; conjunctivitis; external and middle ear infections; upper respiratory infections; bronchitis; asthma; dermatitis and rash; joint pain; lower and unspecified back pain; muscle and soft tissue limb pain; fatigue; headache</w:t>
            </w:r>
          </w:p>
        </w:tc>
        <w:tc>
          <w:tcPr>
            <w:tcW w:w="2970" w:type="dxa"/>
            <w:vAlign w:val="center"/>
          </w:tcPr>
          <w:p w:rsidR="00810A06" w:rsidRDefault="00810A06" w:rsidP="00810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 Health Homes, ME Behavioral Health Homes, PCMH, Accountable Communities</w:t>
            </w:r>
          </w:p>
        </w:tc>
        <w:tc>
          <w:tcPr>
            <w:tcW w:w="1350" w:type="dxa"/>
            <w:vAlign w:val="center"/>
          </w:tcPr>
          <w:p w:rsidR="00810A06" w:rsidRDefault="00810A06" w:rsidP="00810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1, 2, 3, 4, 6</w:t>
            </w:r>
          </w:p>
        </w:tc>
        <w:tc>
          <w:tcPr>
            <w:tcW w:w="1530" w:type="dxa"/>
            <w:vAlign w:val="center"/>
          </w:tcPr>
          <w:p w:rsidR="00810A06" w:rsidRDefault="00810A06" w:rsidP="00810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2, 4</w:t>
            </w:r>
          </w:p>
        </w:tc>
        <w:tc>
          <w:tcPr>
            <w:tcW w:w="1710" w:type="dxa"/>
            <w:vAlign w:val="center"/>
          </w:tcPr>
          <w:p w:rsidR="00810A06" w:rsidRPr="00810A06" w:rsidRDefault="000449C8" w:rsidP="00535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Commissioner recommendation and major cost driver</w:t>
            </w:r>
          </w:p>
        </w:tc>
      </w:tr>
      <w:tr w:rsidR="00810A06" w:rsidRPr="0020205D" w:rsidTr="005352A7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810A06" w:rsidRPr="00810A06" w:rsidRDefault="00810A06" w:rsidP="005352A7">
            <w:pPr>
              <w:rPr>
                <w:rFonts w:ascii="Arial" w:hAnsi="Arial" w:cs="Arial"/>
                <w:b/>
              </w:rPr>
            </w:pPr>
            <w:r w:rsidRPr="00810A06">
              <w:rPr>
                <w:rFonts w:ascii="Arial" w:hAnsi="Arial" w:cs="Arial"/>
                <w:b/>
                <w:color w:val="FFFFFF" w:themeColor="background1"/>
              </w:rPr>
              <w:t>Readmissions</w:t>
            </w:r>
          </w:p>
        </w:tc>
      </w:tr>
      <w:tr w:rsidR="00810A06" w:rsidRPr="0020205D" w:rsidTr="005352A7">
        <w:trPr>
          <w:trHeight w:val="1028"/>
        </w:trPr>
        <w:tc>
          <w:tcPr>
            <w:tcW w:w="5688" w:type="dxa"/>
            <w:vAlign w:val="center"/>
          </w:tcPr>
          <w:p w:rsidR="00810A06" w:rsidRPr="00E84F5D" w:rsidRDefault="00810A06" w:rsidP="00810A06">
            <w:pPr>
              <w:spacing w:before="120" w:after="120"/>
              <w:rPr>
                <w:rFonts w:ascii="Arial" w:hAnsi="Arial" w:cs="Arial"/>
              </w:rPr>
            </w:pPr>
            <w:r w:rsidRPr="00803ABB">
              <w:rPr>
                <w:rFonts w:ascii="Arial" w:hAnsi="Arial" w:cs="Arial"/>
              </w:rPr>
              <w:t>All-cause readmission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970" w:type="dxa"/>
            <w:vAlign w:val="center"/>
          </w:tcPr>
          <w:p w:rsidR="00810A06" w:rsidRPr="008D6017" w:rsidRDefault="00810A06" w:rsidP="00810A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Health Homes, ME Behavioral Health Homes, PCMH, Accountable Communities</w:t>
            </w:r>
          </w:p>
        </w:tc>
        <w:tc>
          <w:tcPr>
            <w:tcW w:w="1350" w:type="dxa"/>
            <w:vAlign w:val="center"/>
          </w:tcPr>
          <w:p w:rsidR="00810A06" w:rsidRDefault="00810A06" w:rsidP="00810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</w:t>
            </w:r>
          </w:p>
        </w:tc>
        <w:tc>
          <w:tcPr>
            <w:tcW w:w="1530" w:type="dxa"/>
            <w:vAlign w:val="center"/>
          </w:tcPr>
          <w:p w:rsidR="00810A06" w:rsidRDefault="00810A06" w:rsidP="00810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2, 3, 4</w:t>
            </w:r>
          </w:p>
        </w:tc>
        <w:tc>
          <w:tcPr>
            <w:tcW w:w="1710" w:type="dxa"/>
            <w:vAlign w:val="center"/>
          </w:tcPr>
          <w:p w:rsidR="00810A06" w:rsidRDefault="000449C8" w:rsidP="000449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Commissioner recommendation and major cost driver</w:t>
            </w:r>
          </w:p>
        </w:tc>
      </w:tr>
      <w:tr w:rsidR="00810A06" w:rsidTr="005352A7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810A06" w:rsidRPr="00810A06" w:rsidRDefault="00810A06" w:rsidP="005352A7">
            <w:pPr>
              <w:rPr>
                <w:rFonts w:ascii="Arial" w:hAnsi="Arial" w:cs="Arial"/>
                <w:b/>
              </w:rPr>
            </w:pPr>
            <w:r w:rsidRPr="00810A06">
              <w:rPr>
                <w:rFonts w:ascii="Arial" w:hAnsi="Arial" w:cs="Arial"/>
                <w:b/>
                <w:color w:val="FFFFFF" w:themeColor="background1"/>
              </w:rPr>
              <w:t>Imaging</w:t>
            </w:r>
          </w:p>
        </w:tc>
      </w:tr>
      <w:tr w:rsidR="00810A06" w:rsidTr="005352A7">
        <w:trPr>
          <w:trHeight w:val="992"/>
        </w:trPr>
        <w:tc>
          <w:tcPr>
            <w:tcW w:w="5688" w:type="dxa"/>
            <w:vAlign w:val="center"/>
          </w:tcPr>
          <w:p w:rsidR="00810A06" w:rsidRPr="008D6017" w:rsidRDefault="00810A06" w:rsidP="00810A06">
            <w:pPr>
              <w:rPr>
                <w:rFonts w:ascii="Arial" w:hAnsi="Arial" w:cs="Arial"/>
              </w:rPr>
            </w:pPr>
            <w:r w:rsidRPr="00803ABB">
              <w:rPr>
                <w:rFonts w:ascii="Arial" w:hAnsi="Arial" w:cs="Arial"/>
              </w:rPr>
              <w:t>Use of imaging studies for low back</w:t>
            </w:r>
            <w:r>
              <w:rPr>
                <w:rFonts w:ascii="Arial" w:hAnsi="Arial" w:cs="Arial"/>
              </w:rPr>
              <w:t xml:space="preserve"> pain: </w:t>
            </w:r>
            <w:r>
              <w:t xml:space="preserve"> </w:t>
            </w:r>
            <w:r w:rsidRPr="00E32700">
              <w:rPr>
                <w:rFonts w:ascii="Arial" w:hAnsi="Arial" w:cs="Arial"/>
              </w:rPr>
              <w:t xml:space="preserve">The percentage of members with a primary diagnosis of low back pain </w:t>
            </w:r>
            <w:proofErr w:type="gramStart"/>
            <w:r w:rsidRPr="00E32700">
              <w:rPr>
                <w:rFonts w:ascii="Arial" w:hAnsi="Arial" w:cs="Arial"/>
              </w:rPr>
              <w:t>who</w:t>
            </w:r>
            <w:proofErr w:type="gramEnd"/>
            <w:r w:rsidRPr="00E32700">
              <w:rPr>
                <w:rFonts w:ascii="Arial" w:hAnsi="Arial" w:cs="Arial"/>
              </w:rPr>
              <w:t xml:space="preserve"> had an imaging study within 28 days of the diagnosis.</w:t>
            </w:r>
          </w:p>
        </w:tc>
        <w:tc>
          <w:tcPr>
            <w:tcW w:w="2970" w:type="dxa"/>
            <w:vAlign w:val="center"/>
          </w:tcPr>
          <w:p w:rsidR="00810A06" w:rsidRPr="008D6017" w:rsidRDefault="00810A06" w:rsidP="00810A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Health Homes, 1 of 4 ACI Commercial Payers, Accountable Communities</w:t>
            </w:r>
          </w:p>
        </w:tc>
        <w:tc>
          <w:tcPr>
            <w:tcW w:w="1350" w:type="dxa"/>
            <w:vAlign w:val="center"/>
          </w:tcPr>
          <w:p w:rsidR="00810A06" w:rsidRDefault="00810A06" w:rsidP="00810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vAlign w:val="center"/>
          </w:tcPr>
          <w:p w:rsidR="00810A06" w:rsidRDefault="00810A06" w:rsidP="00810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2, 4</w:t>
            </w:r>
          </w:p>
        </w:tc>
        <w:tc>
          <w:tcPr>
            <w:tcW w:w="1710" w:type="dxa"/>
            <w:vAlign w:val="center"/>
          </w:tcPr>
          <w:p w:rsidR="00810A06" w:rsidRDefault="000449C8" w:rsidP="00535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Commissioner recommendation</w:t>
            </w:r>
            <w:r w:rsidR="00BE20CD">
              <w:rPr>
                <w:rFonts w:ascii="Arial" w:hAnsi="Arial" w:cs="Arial"/>
              </w:rPr>
              <w:t xml:space="preserve"> and important measure of potential overuse</w:t>
            </w:r>
          </w:p>
        </w:tc>
      </w:tr>
      <w:tr w:rsidR="00810A06" w:rsidTr="005352A7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810A06" w:rsidRPr="00810A06" w:rsidRDefault="00810A06" w:rsidP="005352A7">
            <w:pPr>
              <w:rPr>
                <w:rFonts w:ascii="Arial" w:hAnsi="Arial" w:cs="Arial"/>
                <w:b/>
              </w:rPr>
            </w:pPr>
            <w:r w:rsidRPr="00810A06">
              <w:rPr>
                <w:rFonts w:ascii="Arial" w:hAnsi="Arial" w:cs="Arial"/>
                <w:b/>
                <w:color w:val="FFFFFF" w:themeColor="background1"/>
              </w:rPr>
              <w:t>Fragmented Care</w:t>
            </w:r>
          </w:p>
        </w:tc>
      </w:tr>
      <w:tr w:rsidR="00810A06" w:rsidTr="005352A7">
        <w:trPr>
          <w:trHeight w:val="1442"/>
        </w:trPr>
        <w:tc>
          <w:tcPr>
            <w:tcW w:w="5688" w:type="dxa"/>
            <w:vAlign w:val="center"/>
          </w:tcPr>
          <w:p w:rsidR="00810A06" w:rsidRPr="008D6017" w:rsidRDefault="00810A06" w:rsidP="00810A06">
            <w:pPr>
              <w:rPr>
                <w:rFonts w:ascii="Arial" w:hAnsi="Arial" w:cs="Arial"/>
              </w:rPr>
            </w:pPr>
            <w:r w:rsidRPr="00106413">
              <w:rPr>
                <w:rFonts w:ascii="Arial" w:hAnsi="Arial" w:cs="Arial"/>
              </w:rPr>
              <w:t>Percent of members with fragmented c</w:t>
            </w:r>
            <w:r>
              <w:rPr>
                <w:rFonts w:ascii="Arial" w:hAnsi="Arial" w:cs="Arial"/>
              </w:rPr>
              <w:t xml:space="preserve">are: </w:t>
            </w:r>
            <w:r>
              <w:t xml:space="preserve"> </w:t>
            </w:r>
            <w:r w:rsidRPr="00E32700">
              <w:rPr>
                <w:rFonts w:ascii="Arial" w:hAnsi="Arial" w:cs="Arial"/>
              </w:rPr>
              <w:t xml:space="preserve">This measure uses Liu’s fragmented care index (FCI) is based on </w:t>
            </w:r>
            <w:proofErr w:type="spellStart"/>
            <w:r w:rsidRPr="00E32700">
              <w:rPr>
                <w:rFonts w:ascii="Arial" w:hAnsi="Arial" w:cs="Arial"/>
              </w:rPr>
              <w:t>Bice</w:t>
            </w:r>
            <w:proofErr w:type="spellEnd"/>
            <w:r w:rsidRPr="00E32700">
              <w:rPr>
                <w:rFonts w:ascii="Arial" w:hAnsi="Arial" w:cs="Arial"/>
              </w:rPr>
              <w:t xml:space="preserve"> and </w:t>
            </w:r>
            <w:proofErr w:type="spellStart"/>
            <w:r w:rsidRPr="00E32700">
              <w:rPr>
                <w:rFonts w:ascii="Arial" w:hAnsi="Arial" w:cs="Arial"/>
              </w:rPr>
              <w:t>Boserman’s</w:t>
            </w:r>
            <w:proofErr w:type="spellEnd"/>
            <w:r w:rsidRPr="00E32700">
              <w:rPr>
                <w:rFonts w:ascii="Arial" w:hAnsi="Arial" w:cs="Arial"/>
              </w:rPr>
              <w:t xml:space="preserve">  continuity of care index (CCI) that considers the number of different providers visited, the proportion of attended visits to each provider and the total number of visits.</w:t>
            </w:r>
          </w:p>
        </w:tc>
        <w:tc>
          <w:tcPr>
            <w:tcW w:w="2970" w:type="dxa"/>
            <w:vAlign w:val="center"/>
          </w:tcPr>
          <w:p w:rsidR="00810A06" w:rsidRPr="008D6017" w:rsidRDefault="00810A06" w:rsidP="00810A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Health Homes, ME Behavioral Health Homes</w:t>
            </w:r>
          </w:p>
        </w:tc>
        <w:tc>
          <w:tcPr>
            <w:tcW w:w="1350" w:type="dxa"/>
            <w:vAlign w:val="center"/>
          </w:tcPr>
          <w:p w:rsidR="00810A06" w:rsidRDefault="00810A06" w:rsidP="00810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1, 2, 3, 4, 6</w:t>
            </w:r>
          </w:p>
        </w:tc>
        <w:tc>
          <w:tcPr>
            <w:tcW w:w="1530" w:type="dxa"/>
            <w:vAlign w:val="center"/>
          </w:tcPr>
          <w:p w:rsidR="00810A06" w:rsidRDefault="00810A06" w:rsidP="00810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1, 4</w:t>
            </w:r>
          </w:p>
        </w:tc>
        <w:tc>
          <w:tcPr>
            <w:tcW w:w="1710" w:type="dxa"/>
            <w:vAlign w:val="center"/>
          </w:tcPr>
          <w:p w:rsidR="00810A06" w:rsidRDefault="000449C8" w:rsidP="00535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Commissioner recommendation</w:t>
            </w:r>
            <w:r w:rsidR="00BE20CD">
              <w:rPr>
                <w:rFonts w:ascii="Arial" w:hAnsi="Arial" w:cs="Arial"/>
              </w:rPr>
              <w:t xml:space="preserve"> and key measure of overarching SIM goal to improve care coordination</w:t>
            </w:r>
          </w:p>
        </w:tc>
      </w:tr>
      <w:tr w:rsidR="00810A06" w:rsidTr="005352A7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810A06" w:rsidRPr="00810A06" w:rsidRDefault="00810A06" w:rsidP="005352A7">
            <w:pPr>
              <w:rPr>
                <w:rFonts w:ascii="Arial" w:hAnsi="Arial" w:cs="Arial"/>
                <w:b/>
              </w:rPr>
            </w:pPr>
            <w:r w:rsidRPr="00810A06">
              <w:rPr>
                <w:rFonts w:ascii="Arial" w:hAnsi="Arial" w:cs="Arial"/>
                <w:b/>
                <w:color w:val="FFFFFF" w:themeColor="background1"/>
              </w:rPr>
              <w:t>Total Cost of Care Index</w:t>
            </w:r>
          </w:p>
        </w:tc>
      </w:tr>
      <w:tr w:rsidR="00810A06" w:rsidTr="00BE2EC8">
        <w:trPr>
          <w:trHeight w:val="785"/>
        </w:trPr>
        <w:tc>
          <w:tcPr>
            <w:tcW w:w="5688" w:type="dxa"/>
            <w:shd w:val="clear" w:color="auto" w:fill="FFFFFF" w:themeFill="background1"/>
            <w:vAlign w:val="center"/>
          </w:tcPr>
          <w:p w:rsidR="00810A06" w:rsidRPr="00AE1761" w:rsidRDefault="00810A06" w:rsidP="00810A06">
            <w:pPr>
              <w:rPr>
                <w:rFonts w:ascii="Arial" w:hAnsi="Arial" w:cs="Arial"/>
              </w:rPr>
            </w:pPr>
            <w:r w:rsidRPr="008A21A5">
              <w:rPr>
                <w:rFonts w:ascii="Arial" w:hAnsi="Arial" w:cs="Arial"/>
              </w:rPr>
              <w:t>Population based, case-mix (risk) adjusted, per capital total medical and pharmacy cost paid to providers with high cost claimants capped at 100K.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810A06" w:rsidRPr="00AE1761" w:rsidRDefault="00810A06" w:rsidP="00810A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used across all SIM Initiatives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10A06" w:rsidRDefault="00810A06" w:rsidP="00810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10A06" w:rsidRDefault="00810A06" w:rsidP="00810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810A06" w:rsidRDefault="003F3E0A" w:rsidP="00535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CMMI/CMS </w:t>
            </w:r>
            <w:r w:rsidR="000449C8">
              <w:rPr>
                <w:rFonts w:ascii="Arial" w:hAnsi="Arial" w:cs="Arial"/>
              </w:rPr>
              <w:t>recommendation</w:t>
            </w:r>
          </w:p>
        </w:tc>
      </w:tr>
    </w:tbl>
    <w:p w:rsidR="00733038" w:rsidRDefault="00733038">
      <w:pPr>
        <w:rPr>
          <w:rFonts w:ascii="Arial" w:hAnsi="Arial" w:cs="Arial"/>
          <w:sz w:val="18"/>
          <w:szCs w:val="18"/>
        </w:rPr>
      </w:pPr>
    </w:p>
    <w:p w:rsidR="000449C8" w:rsidRDefault="000449C8" w:rsidP="00733038">
      <w:pPr>
        <w:rPr>
          <w:rFonts w:ascii="Arial" w:hAnsi="Arial" w:cs="Arial"/>
          <w:b/>
        </w:rPr>
      </w:pPr>
    </w:p>
    <w:p w:rsidR="00733038" w:rsidRPr="00E253A6" w:rsidRDefault="00733038" w:rsidP="00733038">
      <w:pPr>
        <w:rPr>
          <w:rFonts w:ascii="Arial" w:hAnsi="Arial" w:cs="Arial"/>
          <w:b/>
        </w:rPr>
      </w:pPr>
      <w:r w:rsidRPr="0042180E">
        <w:rPr>
          <w:rFonts w:ascii="Arial" w:hAnsi="Arial" w:cs="Arial"/>
          <w:b/>
        </w:rPr>
        <w:lastRenderedPageBreak/>
        <w:t xml:space="preserve">Table 1: </w:t>
      </w:r>
      <w:r w:rsidR="00BE20CD">
        <w:rPr>
          <w:rFonts w:ascii="Arial" w:hAnsi="Arial" w:cs="Arial"/>
          <w:b/>
        </w:rPr>
        <w:t>Recommended Measures</w:t>
      </w:r>
      <w:r w:rsidR="00E124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(cont.)</w:t>
      </w:r>
    </w:p>
    <w:tbl>
      <w:tblPr>
        <w:tblStyle w:val="TableGrid"/>
        <w:tblpPr w:leftFromText="180" w:rightFromText="180" w:vertAnchor="text" w:horzAnchor="margin" w:tblpY="7"/>
        <w:tblW w:w="13248" w:type="dxa"/>
        <w:tblLayout w:type="fixed"/>
        <w:tblLook w:val="04A0" w:firstRow="1" w:lastRow="0" w:firstColumn="1" w:lastColumn="0" w:noHBand="0" w:noVBand="1"/>
      </w:tblPr>
      <w:tblGrid>
        <w:gridCol w:w="5688"/>
        <w:gridCol w:w="2970"/>
        <w:gridCol w:w="1350"/>
        <w:gridCol w:w="1530"/>
        <w:gridCol w:w="1710"/>
      </w:tblGrid>
      <w:tr w:rsidR="00733038" w:rsidTr="00733038">
        <w:tc>
          <w:tcPr>
            <w:tcW w:w="5688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center"/>
          </w:tcPr>
          <w:p w:rsidR="00733038" w:rsidRPr="00987A5D" w:rsidRDefault="00733038" w:rsidP="00733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A5D">
              <w:rPr>
                <w:rFonts w:ascii="Arial" w:hAnsi="Arial" w:cs="Arial"/>
                <w:b/>
                <w:color w:val="FFFFFF" w:themeColor="background1"/>
              </w:rPr>
              <w:t>Measure</w:t>
            </w:r>
          </w:p>
        </w:tc>
        <w:tc>
          <w:tcPr>
            <w:tcW w:w="2970" w:type="dxa"/>
            <w:shd w:val="clear" w:color="auto" w:fill="31849B" w:themeFill="accent5" w:themeFillShade="BF"/>
            <w:vAlign w:val="center"/>
          </w:tcPr>
          <w:p w:rsidR="00733038" w:rsidRPr="00987A5D" w:rsidRDefault="00733038" w:rsidP="00733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A5D">
              <w:rPr>
                <w:rFonts w:ascii="Arial" w:hAnsi="Arial" w:cs="Arial"/>
                <w:b/>
                <w:color w:val="FFFFFF" w:themeColor="background1"/>
              </w:rPr>
              <w:t>SIM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Initiatives</w:t>
            </w:r>
            <w:r w:rsidRPr="00987A5D">
              <w:rPr>
                <w:rFonts w:ascii="Arial" w:hAnsi="Arial" w:cs="Arial"/>
                <w:b/>
                <w:color w:val="FFFFFF" w:themeColor="background1"/>
              </w:rPr>
              <w:t xml:space="preserve"> Using Measure</w:t>
            </w:r>
          </w:p>
        </w:tc>
        <w:tc>
          <w:tcPr>
            <w:tcW w:w="1350" w:type="dxa"/>
            <w:shd w:val="clear" w:color="auto" w:fill="31849B" w:themeFill="accent5" w:themeFillShade="BF"/>
            <w:vAlign w:val="center"/>
          </w:tcPr>
          <w:p w:rsidR="00733038" w:rsidRPr="00987A5D" w:rsidRDefault="00733038" w:rsidP="00733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Strategic Pillars*</w:t>
            </w:r>
          </w:p>
        </w:tc>
        <w:tc>
          <w:tcPr>
            <w:tcW w:w="1530" w:type="dxa"/>
            <w:shd w:val="clear" w:color="auto" w:fill="31849B" w:themeFill="accent5" w:themeFillShade="BF"/>
            <w:vAlign w:val="center"/>
          </w:tcPr>
          <w:p w:rsidR="00733038" w:rsidRPr="00987A5D" w:rsidRDefault="00733038" w:rsidP="00733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Triple Aim Outcomes**</w:t>
            </w:r>
          </w:p>
        </w:tc>
        <w:tc>
          <w:tcPr>
            <w:tcW w:w="1710" w:type="dxa"/>
            <w:shd w:val="clear" w:color="auto" w:fill="31849B" w:themeFill="accent5" w:themeFillShade="BF"/>
            <w:vAlign w:val="center"/>
          </w:tcPr>
          <w:p w:rsidR="00733038" w:rsidRDefault="00733038" w:rsidP="007B511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Rationale</w:t>
            </w:r>
          </w:p>
        </w:tc>
      </w:tr>
      <w:tr w:rsidR="00733038" w:rsidTr="00733038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733038" w:rsidRPr="00810A06" w:rsidRDefault="00733038" w:rsidP="007330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Pediatric/Adolescent Care</w:t>
            </w:r>
          </w:p>
        </w:tc>
      </w:tr>
      <w:tr w:rsidR="00733038" w:rsidTr="00E95BC2">
        <w:trPr>
          <w:trHeight w:val="998"/>
        </w:trPr>
        <w:tc>
          <w:tcPr>
            <w:tcW w:w="5688" w:type="dxa"/>
            <w:vAlign w:val="center"/>
          </w:tcPr>
          <w:p w:rsidR="00733038" w:rsidRPr="00590AB3" w:rsidRDefault="00733038" w:rsidP="00733038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Well-child Visits (ages 3-6 and 7-11)</w:t>
            </w:r>
          </w:p>
        </w:tc>
        <w:tc>
          <w:tcPr>
            <w:tcW w:w="2970" w:type="dxa"/>
            <w:vAlign w:val="center"/>
          </w:tcPr>
          <w:p w:rsidR="00733038" w:rsidRPr="00590AB3" w:rsidRDefault="00733038" w:rsidP="00733038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ME Health Homes; ME Behavioral Health Homes; 2 of 4 ACI Commercial Payers; Accountable Communities</w:t>
            </w:r>
          </w:p>
        </w:tc>
        <w:tc>
          <w:tcPr>
            <w:tcW w:w="1350" w:type="dxa"/>
            <w:vAlign w:val="center"/>
          </w:tcPr>
          <w:p w:rsidR="00733038" w:rsidRPr="00590AB3" w:rsidRDefault="00733038" w:rsidP="00733038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vAlign w:val="center"/>
          </w:tcPr>
          <w:p w:rsidR="00733038" w:rsidRPr="00590AB3" w:rsidRDefault="00733038" w:rsidP="00733038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vAlign w:val="center"/>
          </w:tcPr>
          <w:p w:rsidR="00733038" w:rsidRPr="00810A06" w:rsidRDefault="005352A7" w:rsidP="00FB0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452EE5">
              <w:rPr>
                <w:rFonts w:ascii="Arial" w:hAnsi="Arial" w:cs="Arial"/>
              </w:rPr>
              <w:t>ell visits</w:t>
            </w:r>
            <w:r>
              <w:rPr>
                <w:rFonts w:ascii="Arial" w:hAnsi="Arial" w:cs="Arial"/>
              </w:rPr>
              <w:t xml:space="preserve"> in younger ages </w:t>
            </w:r>
            <w:r w:rsidR="00FB0AE9">
              <w:rPr>
                <w:rFonts w:ascii="Arial" w:hAnsi="Arial" w:cs="Arial"/>
              </w:rPr>
              <w:t>strong impact on preventable diseases</w:t>
            </w:r>
          </w:p>
        </w:tc>
      </w:tr>
      <w:tr w:rsidR="00356AB2" w:rsidTr="00BE2EC8">
        <w:trPr>
          <w:trHeight w:val="470"/>
        </w:trPr>
        <w:tc>
          <w:tcPr>
            <w:tcW w:w="5688" w:type="dxa"/>
            <w:vAlign w:val="center"/>
          </w:tcPr>
          <w:p w:rsidR="00356AB2" w:rsidRPr="00590AB3" w:rsidRDefault="00356AB2" w:rsidP="00356AB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Developmental Screenings in the First 3 Years of Life</w:t>
            </w:r>
          </w:p>
        </w:tc>
        <w:tc>
          <w:tcPr>
            <w:tcW w:w="2970" w:type="dxa"/>
            <w:vAlign w:val="center"/>
          </w:tcPr>
          <w:p w:rsidR="00356AB2" w:rsidRPr="00590AB3" w:rsidRDefault="00356AB2" w:rsidP="00356AB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ME Health Homes; Accountable Communities</w:t>
            </w:r>
          </w:p>
        </w:tc>
        <w:tc>
          <w:tcPr>
            <w:tcW w:w="1350" w:type="dxa"/>
            <w:vAlign w:val="center"/>
          </w:tcPr>
          <w:p w:rsidR="00356AB2" w:rsidRPr="00590AB3" w:rsidRDefault="00356AB2" w:rsidP="00356AB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vAlign w:val="center"/>
          </w:tcPr>
          <w:p w:rsidR="00356AB2" w:rsidRPr="00590AB3" w:rsidRDefault="00356AB2" w:rsidP="00356AB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vAlign w:val="center"/>
          </w:tcPr>
          <w:p w:rsidR="00356AB2" w:rsidRPr="00810A06" w:rsidRDefault="00FB0AE9" w:rsidP="00535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Key measure of early childhood </w:t>
            </w:r>
          </w:p>
        </w:tc>
      </w:tr>
      <w:tr w:rsidR="00356AB2" w:rsidRPr="0020205D" w:rsidTr="002F6188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356AB2" w:rsidRPr="00810A06" w:rsidRDefault="00356AB2" w:rsidP="002F6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Mental Health</w:t>
            </w:r>
          </w:p>
        </w:tc>
      </w:tr>
      <w:tr w:rsidR="00356AB2" w:rsidRPr="0020205D" w:rsidTr="00BE2EC8">
        <w:trPr>
          <w:trHeight w:val="677"/>
        </w:trPr>
        <w:tc>
          <w:tcPr>
            <w:tcW w:w="5688" w:type="dxa"/>
            <w:vAlign w:val="center"/>
          </w:tcPr>
          <w:p w:rsidR="00356AB2" w:rsidRPr="00590AB3" w:rsidRDefault="00356AB2" w:rsidP="005609A3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 xml:space="preserve">Follow-Up After Hospitalization for Mental Illness </w:t>
            </w:r>
          </w:p>
        </w:tc>
        <w:tc>
          <w:tcPr>
            <w:tcW w:w="2970" w:type="dxa"/>
            <w:vAlign w:val="center"/>
          </w:tcPr>
          <w:p w:rsidR="00356AB2" w:rsidRPr="00590AB3" w:rsidRDefault="00356AB2" w:rsidP="00356AB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ME Health Homes; ME Behavioral Health Homes; Accountable Communities</w:t>
            </w:r>
          </w:p>
        </w:tc>
        <w:tc>
          <w:tcPr>
            <w:tcW w:w="1350" w:type="dxa"/>
            <w:vAlign w:val="center"/>
          </w:tcPr>
          <w:p w:rsidR="00356AB2" w:rsidRPr="00590AB3" w:rsidRDefault="00356AB2" w:rsidP="00356AB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1, 2, 5, 6</w:t>
            </w:r>
          </w:p>
        </w:tc>
        <w:tc>
          <w:tcPr>
            <w:tcW w:w="1530" w:type="dxa"/>
            <w:vAlign w:val="center"/>
          </w:tcPr>
          <w:p w:rsidR="00356AB2" w:rsidRPr="00590AB3" w:rsidRDefault="00356AB2" w:rsidP="00356AB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vAlign w:val="center"/>
          </w:tcPr>
          <w:p w:rsidR="00356AB2" w:rsidRDefault="000449C8" w:rsidP="006E7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Important mental health measure</w:t>
            </w:r>
          </w:p>
        </w:tc>
      </w:tr>
      <w:tr w:rsidR="00356AB2" w:rsidRPr="0020205D" w:rsidTr="00BE2EC8">
        <w:trPr>
          <w:trHeight w:val="605"/>
        </w:trPr>
        <w:tc>
          <w:tcPr>
            <w:tcW w:w="5688" w:type="dxa"/>
            <w:vAlign w:val="center"/>
          </w:tcPr>
          <w:p w:rsidR="00356AB2" w:rsidRPr="00590AB3" w:rsidRDefault="00356AB2" w:rsidP="00356AB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Screening for Clinical Depression and Follow-up Plan</w:t>
            </w:r>
          </w:p>
        </w:tc>
        <w:tc>
          <w:tcPr>
            <w:tcW w:w="2970" w:type="dxa"/>
            <w:vAlign w:val="center"/>
          </w:tcPr>
          <w:p w:rsidR="00356AB2" w:rsidRPr="00590AB3" w:rsidRDefault="00356AB2" w:rsidP="00356AB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ME Health Homes; ME Behavioral Health Homes</w:t>
            </w:r>
          </w:p>
        </w:tc>
        <w:tc>
          <w:tcPr>
            <w:tcW w:w="1350" w:type="dxa"/>
            <w:vAlign w:val="center"/>
          </w:tcPr>
          <w:p w:rsidR="00356AB2" w:rsidRPr="00590AB3" w:rsidRDefault="00356AB2" w:rsidP="00356AB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1, 2, 5, 6</w:t>
            </w:r>
          </w:p>
        </w:tc>
        <w:tc>
          <w:tcPr>
            <w:tcW w:w="1530" w:type="dxa"/>
            <w:vAlign w:val="center"/>
          </w:tcPr>
          <w:p w:rsidR="00356AB2" w:rsidRPr="00590AB3" w:rsidRDefault="00356AB2" w:rsidP="00356AB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vAlign w:val="center"/>
          </w:tcPr>
          <w:p w:rsidR="00356AB2" w:rsidRDefault="000449C8" w:rsidP="002F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Important mental health measure</w:t>
            </w:r>
          </w:p>
        </w:tc>
      </w:tr>
      <w:tr w:rsidR="00356AB2" w:rsidTr="002F6188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356AB2" w:rsidRPr="00810A06" w:rsidRDefault="00356AB2" w:rsidP="002F6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Patient Experience/Engagement</w:t>
            </w:r>
          </w:p>
        </w:tc>
      </w:tr>
      <w:tr w:rsidR="00E95BC2" w:rsidTr="00BE2EC8">
        <w:trPr>
          <w:trHeight w:val="713"/>
        </w:trPr>
        <w:tc>
          <w:tcPr>
            <w:tcW w:w="5688" w:type="dxa"/>
            <w:vAlign w:val="center"/>
          </w:tcPr>
          <w:p w:rsidR="00E95BC2" w:rsidRPr="007B511B" w:rsidRDefault="008E2131" w:rsidP="00356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Providers support you in taking care of your own health, CAHPS PCMH</w:t>
            </w:r>
            <w:r w:rsidR="00E95BC2" w:rsidRPr="007B51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E95BC2" w:rsidRPr="007B511B" w:rsidRDefault="00E95BC2" w:rsidP="00356AB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E95BC2" w:rsidRPr="007B511B" w:rsidRDefault="00E95BC2" w:rsidP="00356AB2">
            <w:pPr>
              <w:jc w:val="center"/>
              <w:rPr>
                <w:rFonts w:ascii="Arial" w:hAnsi="Arial" w:cs="Arial"/>
              </w:rPr>
            </w:pPr>
            <w:r w:rsidRPr="007B511B">
              <w:rPr>
                <w:rFonts w:ascii="Arial" w:hAnsi="Arial" w:cs="Arial"/>
              </w:rPr>
              <w:t>1, 6</w:t>
            </w:r>
          </w:p>
        </w:tc>
        <w:tc>
          <w:tcPr>
            <w:tcW w:w="1530" w:type="dxa"/>
            <w:vAlign w:val="center"/>
          </w:tcPr>
          <w:p w:rsidR="00E95BC2" w:rsidRPr="007B511B" w:rsidRDefault="00E95BC2" w:rsidP="00356AB2">
            <w:pPr>
              <w:jc w:val="center"/>
              <w:rPr>
                <w:rFonts w:ascii="Arial" w:hAnsi="Arial" w:cs="Arial"/>
              </w:rPr>
            </w:pPr>
            <w:r w:rsidRPr="007B511B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  <w:vAlign w:val="center"/>
          </w:tcPr>
          <w:p w:rsidR="00E95BC2" w:rsidRPr="007B511B" w:rsidRDefault="000449C8" w:rsidP="00E95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Captures patient experience</w:t>
            </w:r>
            <w:r w:rsidR="008E2131">
              <w:rPr>
                <w:rFonts w:ascii="Arial" w:hAnsi="Arial" w:cs="Arial"/>
              </w:rPr>
              <w:t xml:space="preserve"> &amp; engagement</w:t>
            </w:r>
          </w:p>
        </w:tc>
      </w:tr>
      <w:tr w:rsidR="00E95BC2" w:rsidTr="00BE2EC8">
        <w:trPr>
          <w:trHeight w:val="443"/>
        </w:trPr>
        <w:tc>
          <w:tcPr>
            <w:tcW w:w="5688" w:type="dxa"/>
            <w:vAlign w:val="center"/>
          </w:tcPr>
          <w:p w:rsidR="00E95BC2" w:rsidRPr="007B511B" w:rsidRDefault="00E95BC2" w:rsidP="00356AB2">
            <w:pPr>
              <w:rPr>
                <w:rFonts w:ascii="Arial" w:hAnsi="Arial" w:cs="Arial"/>
              </w:rPr>
            </w:pPr>
            <w:r w:rsidRPr="007B511B">
              <w:rPr>
                <w:rFonts w:ascii="Arial" w:hAnsi="Arial" w:cs="Arial"/>
              </w:rPr>
              <w:t>Willingness to Recommend Provider (Definitely Yes/Somewhat Yes/No), CAHPS</w:t>
            </w:r>
          </w:p>
        </w:tc>
        <w:tc>
          <w:tcPr>
            <w:tcW w:w="2970" w:type="dxa"/>
            <w:vAlign w:val="center"/>
          </w:tcPr>
          <w:p w:rsidR="00E95BC2" w:rsidRPr="007B511B" w:rsidRDefault="00E95BC2" w:rsidP="00356AB2">
            <w:pPr>
              <w:rPr>
                <w:rFonts w:ascii="Arial" w:hAnsi="Arial" w:cs="Arial"/>
                <w:b/>
              </w:rPr>
            </w:pPr>
            <w:r w:rsidRPr="007B511B">
              <w:rPr>
                <w:rFonts w:ascii="Arial" w:hAnsi="Arial" w:cs="Arial"/>
              </w:rPr>
              <w:t>Accountable Communities</w:t>
            </w:r>
          </w:p>
        </w:tc>
        <w:tc>
          <w:tcPr>
            <w:tcW w:w="1350" w:type="dxa"/>
            <w:vAlign w:val="center"/>
          </w:tcPr>
          <w:p w:rsidR="00E95BC2" w:rsidRPr="007B511B" w:rsidRDefault="00E95BC2" w:rsidP="00356AB2">
            <w:pPr>
              <w:jc w:val="center"/>
              <w:rPr>
                <w:rFonts w:ascii="Arial" w:hAnsi="Arial" w:cs="Arial"/>
              </w:rPr>
            </w:pPr>
            <w:r w:rsidRPr="007B511B">
              <w:rPr>
                <w:rFonts w:ascii="Arial" w:hAnsi="Arial" w:cs="Arial"/>
              </w:rPr>
              <w:t>1, 6</w:t>
            </w:r>
          </w:p>
        </w:tc>
        <w:tc>
          <w:tcPr>
            <w:tcW w:w="1530" w:type="dxa"/>
            <w:vAlign w:val="center"/>
          </w:tcPr>
          <w:p w:rsidR="00E95BC2" w:rsidRPr="007B511B" w:rsidRDefault="00E95BC2" w:rsidP="00356AB2">
            <w:pPr>
              <w:jc w:val="center"/>
              <w:rPr>
                <w:rFonts w:ascii="Arial" w:hAnsi="Arial" w:cs="Arial"/>
              </w:rPr>
            </w:pPr>
            <w:r w:rsidRPr="007B511B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  <w:vAlign w:val="center"/>
          </w:tcPr>
          <w:p w:rsidR="00E95BC2" w:rsidRPr="007B511B" w:rsidRDefault="000449C8" w:rsidP="002F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Captures patient experience</w:t>
            </w:r>
          </w:p>
        </w:tc>
      </w:tr>
      <w:tr w:rsidR="00356AB2" w:rsidTr="002F6188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356AB2" w:rsidRPr="00810A06" w:rsidRDefault="00356AB2" w:rsidP="002F6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Obesity</w:t>
            </w:r>
          </w:p>
        </w:tc>
      </w:tr>
      <w:tr w:rsidR="00356AB2" w:rsidTr="00452EE5">
        <w:trPr>
          <w:trHeight w:val="665"/>
        </w:trPr>
        <w:tc>
          <w:tcPr>
            <w:tcW w:w="5688" w:type="dxa"/>
            <w:vAlign w:val="center"/>
          </w:tcPr>
          <w:p w:rsidR="00356AB2" w:rsidRPr="00590AB3" w:rsidRDefault="00356AB2" w:rsidP="00356AB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Adult BMI Assessment</w:t>
            </w:r>
          </w:p>
        </w:tc>
        <w:tc>
          <w:tcPr>
            <w:tcW w:w="2970" w:type="dxa"/>
            <w:vAlign w:val="center"/>
          </w:tcPr>
          <w:p w:rsidR="00356AB2" w:rsidRPr="00590AB3" w:rsidRDefault="00356AB2" w:rsidP="00356AB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ME Health Homes; ME Behavioral Health Homes</w:t>
            </w:r>
          </w:p>
        </w:tc>
        <w:tc>
          <w:tcPr>
            <w:tcW w:w="1350" w:type="dxa"/>
            <w:vAlign w:val="center"/>
          </w:tcPr>
          <w:p w:rsidR="00356AB2" w:rsidRPr="00590AB3" w:rsidRDefault="00356AB2" w:rsidP="00356AB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vAlign w:val="center"/>
          </w:tcPr>
          <w:p w:rsidR="00356AB2" w:rsidRPr="00590AB3" w:rsidRDefault="00356AB2" w:rsidP="00356AB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vAlign w:val="center"/>
          </w:tcPr>
          <w:p w:rsidR="00356AB2" w:rsidRDefault="00E52240" w:rsidP="008E2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Addresses</w:t>
            </w:r>
            <w:r w:rsidR="008E2131">
              <w:rPr>
                <w:rFonts w:ascii="Arial" w:hAnsi="Arial" w:cs="Arial"/>
              </w:rPr>
              <w:t xml:space="preserve"> CMMI core population health priorities </w:t>
            </w:r>
          </w:p>
        </w:tc>
      </w:tr>
      <w:tr w:rsidR="00356AB2" w:rsidTr="00BE2EC8">
        <w:trPr>
          <w:trHeight w:val="812"/>
        </w:trPr>
        <w:tc>
          <w:tcPr>
            <w:tcW w:w="5688" w:type="dxa"/>
            <w:vAlign w:val="center"/>
          </w:tcPr>
          <w:p w:rsidR="00356AB2" w:rsidRPr="00590AB3" w:rsidRDefault="00356AB2" w:rsidP="00356AB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Weight Assessment and BMI Classification (ages 3-17)</w:t>
            </w:r>
          </w:p>
        </w:tc>
        <w:tc>
          <w:tcPr>
            <w:tcW w:w="2970" w:type="dxa"/>
            <w:vAlign w:val="center"/>
          </w:tcPr>
          <w:p w:rsidR="00356AB2" w:rsidRPr="00590AB3" w:rsidRDefault="00356AB2" w:rsidP="00356AB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ME Behavioral Health Homes</w:t>
            </w:r>
          </w:p>
        </w:tc>
        <w:tc>
          <w:tcPr>
            <w:tcW w:w="1350" w:type="dxa"/>
            <w:vAlign w:val="center"/>
          </w:tcPr>
          <w:p w:rsidR="00356AB2" w:rsidRPr="00590AB3" w:rsidRDefault="00356AB2" w:rsidP="00356AB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,2</w:t>
            </w:r>
          </w:p>
        </w:tc>
        <w:tc>
          <w:tcPr>
            <w:tcW w:w="1530" w:type="dxa"/>
            <w:vAlign w:val="center"/>
          </w:tcPr>
          <w:p w:rsidR="00356AB2" w:rsidRPr="00590AB3" w:rsidRDefault="00356AB2" w:rsidP="00356AB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vAlign w:val="center"/>
          </w:tcPr>
          <w:p w:rsidR="00356AB2" w:rsidRDefault="00E52240" w:rsidP="002F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Addresses</w:t>
            </w:r>
            <w:r w:rsidR="008E2131">
              <w:rPr>
                <w:rFonts w:ascii="Arial" w:hAnsi="Arial" w:cs="Arial"/>
              </w:rPr>
              <w:t xml:space="preserve"> CMMI core population health priorities</w:t>
            </w:r>
          </w:p>
        </w:tc>
      </w:tr>
      <w:tr w:rsidR="00F84E91" w:rsidTr="00BE2EC8">
        <w:trPr>
          <w:trHeight w:val="1460"/>
        </w:trPr>
        <w:tc>
          <w:tcPr>
            <w:tcW w:w="5688" w:type="dxa"/>
            <w:vAlign w:val="center"/>
          </w:tcPr>
          <w:p w:rsidR="00F84E91" w:rsidRPr="00590AB3" w:rsidRDefault="008E2131" w:rsidP="00F36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Adults Meeting Physical Activity Guidelines</w:t>
            </w:r>
            <w:r w:rsidR="00F366AF">
              <w:rPr>
                <w:rFonts w:ascii="Arial" w:hAnsi="Arial" w:cs="Arial"/>
              </w:rPr>
              <w:t>:</w:t>
            </w:r>
            <w:r w:rsidR="00F366AF">
              <w:rPr>
                <w:rFonts w:ascii="Arial" w:hAnsi="Arial" w:cs="Arial"/>
                <w:color w:val="000000"/>
                <w:shd w:val="clear" w:color="auto" w:fill="FFFFFF"/>
              </w:rPr>
              <w:t xml:space="preserve"> ≥150 minutes per week of moderate-intensity aerobic activity, or ≥75 minutes of vigorous-intensity aerobic activity, or an equivalent combination of moderate- and vigorous-intensity aerobic activity [where vigorous-intensity minutes are multiplied by 2] totaling ≥150 minutes per week).</w:t>
            </w:r>
          </w:p>
        </w:tc>
        <w:tc>
          <w:tcPr>
            <w:tcW w:w="2970" w:type="dxa"/>
            <w:vAlign w:val="center"/>
          </w:tcPr>
          <w:p w:rsidR="00F84E91" w:rsidRPr="00590AB3" w:rsidRDefault="00F84E91" w:rsidP="00F84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None, available from BRFSS</w:t>
            </w:r>
          </w:p>
        </w:tc>
        <w:tc>
          <w:tcPr>
            <w:tcW w:w="1350" w:type="dxa"/>
            <w:vAlign w:val="center"/>
          </w:tcPr>
          <w:p w:rsidR="00F84E91" w:rsidRPr="00590AB3" w:rsidRDefault="00F84E91" w:rsidP="00F84E91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,2</w:t>
            </w:r>
          </w:p>
        </w:tc>
        <w:tc>
          <w:tcPr>
            <w:tcW w:w="1530" w:type="dxa"/>
            <w:vAlign w:val="center"/>
          </w:tcPr>
          <w:p w:rsidR="00F84E91" w:rsidRPr="00590AB3" w:rsidRDefault="00F84E91" w:rsidP="00F84E91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vAlign w:val="center"/>
          </w:tcPr>
          <w:p w:rsidR="00F84E91" w:rsidRDefault="008E2131" w:rsidP="002F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Addresses CMMI core population health priorities</w:t>
            </w:r>
          </w:p>
        </w:tc>
      </w:tr>
      <w:tr w:rsidR="00F84E91" w:rsidTr="002F6188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F84E91" w:rsidRPr="00810A06" w:rsidRDefault="00F84E91" w:rsidP="002F6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Diabetes Care</w:t>
            </w:r>
          </w:p>
        </w:tc>
      </w:tr>
      <w:tr w:rsidR="00F84E91" w:rsidTr="002F6188">
        <w:trPr>
          <w:trHeight w:val="602"/>
        </w:trPr>
        <w:tc>
          <w:tcPr>
            <w:tcW w:w="5688" w:type="dxa"/>
            <w:shd w:val="clear" w:color="auto" w:fill="FFFFFF" w:themeFill="background1"/>
            <w:vAlign w:val="center"/>
          </w:tcPr>
          <w:p w:rsidR="00F84E91" w:rsidRPr="00590AB3" w:rsidRDefault="00F84E91" w:rsidP="00F84E91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Diabetic Care HbA1c (ages 18-75)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F84E91" w:rsidRPr="00590AB3" w:rsidRDefault="00F84E91" w:rsidP="00F84E91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 xml:space="preserve">All Models, 2 of 4 ACI </w:t>
            </w:r>
            <w:r>
              <w:rPr>
                <w:rFonts w:ascii="Arial" w:hAnsi="Arial" w:cs="Arial"/>
              </w:rPr>
              <w:t>C</w:t>
            </w:r>
            <w:r w:rsidRPr="00590AB3">
              <w:rPr>
                <w:rFonts w:ascii="Arial" w:hAnsi="Arial" w:cs="Arial"/>
              </w:rPr>
              <w:t xml:space="preserve">ommercial </w:t>
            </w:r>
            <w:r>
              <w:rPr>
                <w:rFonts w:ascii="Arial" w:hAnsi="Arial" w:cs="Arial"/>
              </w:rPr>
              <w:t>P</w:t>
            </w:r>
            <w:r w:rsidRPr="00590AB3">
              <w:rPr>
                <w:rFonts w:ascii="Arial" w:hAnsi="Arial" w:cs="Arial"/>
              </w:rPr>
              <w:t>ayers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84E91" w:rsidRPr="00590AB3" w:rsidRDefault="00F84E91" w:rsidP="00F84E91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1, 2, 5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84E91" w:rsidRPr="00590AB3" w:rsidRDefault="00F84E91" w:rsidP="00F84E91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84E91" w:rsidRDefault="008E2131" w:rsidP="002F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Addresses CMMI core population health priorities</w:t>
            </w:r>
          </w:p>
        </w:tc>
      </w:tr>
    </w:tbl>
    <w:p w:rsidR="00733038" w:rsidRDefault="00733038" w:rsidP="00733038">
      <w:pPr>
        <w:rPr>
          <w:rFonts w:ascii="Arial" w:hAnsi="Arial" w:cs="Arial"/>
          <w:b/>
          <w:sz w:val="18"/>
          <w:szCs w:val="18"/>
        </w:rPr>
      </w:pPr>
      <w:r w:rsidRPr="008A21A5">
        <w:rPr>
          <w:rFonts w:ascii="Arial" w:hAnsi="Arial" w:cs="Arial"/>
          <w:b/>
          <w:sz w:val="18"/>
          <w:szCs w:val="18"/>
        </w:rPr>
        <w:t xml:space="preserve">* Strategic </w:t>
      </w:r>
      <w:r>
        <w:rPr>
          <w:rFonts w:ascii="Arial" w:hAnsi="Arial" w:cs="Arial"/>
          <w:b/>
          <w:sz w:val="18"/>
          <w:szCs w:val="18"/>
        </w:rPr>
        <w:t>P</w:t>
      </w:r>
      <w:r w:rsidRPr="008A21A5">
        <w:rPr>
          <w:rFonts w:ascii="Arial" w:hAnsi="Arial" w:cs="Arial"/>
          <w:b/>
          <w:sz w:val="18"/>
          <w:szCs w:val="18"/>
        </w:rPr>
        <w:t>illars:</w:t>
      </w:r>
      <w:r w:rsidRPr="008A21A5">
        <w:rPr>
          <w:rFonts w:ascii="Arial" w:hAnsi="Arial" w:cs="Arial"/>
          <w:sz w:val="18"/>
          <w:szCs w:val="18"/>
        </w:rPr>
        <w:t xml:space="preserve"> 1 – Strengthen Primary Care; 2 – Integrate Physical and Behavioral Health; 3 – Develop New Workforce Models; 4 – Develop New Payment Models; 5 – Centralize Data &amp; Analysis; 6 – Engage People &amp; Communities</w:t>
      </w:r>
    </w:p>
    <w:p w:rsidR="00356AB2" w:rsidRPr="00F84E91" w:rsidRDefault="00733038" w:rsidP="00E44EB9">
      <w:pPr>
        <w:rPr>
          <w:rFonts w:ascii="Arial" w:hAnsi="Arial" w:cs="Arial"/>
          <w:sz w:val="18"/>
          <w:szCs w:val="18"/>
        </w:rPr>
      </w:pPr>
      <w:r w:rsidRPr="008A21A5">
        <w:rPr>
          <w:rFonts w:ascii="Arial" w:hAnsi="Arial" w:cs="Arial"/>
          <w:b/>
          <w:sz w:val="18"/>
          <w:szCs w:val="18"/>
        </w:rPr>
        <w:t>** Triple Aim Outcomes:</w:t>
      </w:r>
      <w:r w:rsidRPr="008A21A5">
        <w:rPr>
          <w:rFonts w:ascii="Arial" w:hAnsi="Arial" w:cs="Arial"/>
          <w:sz w:val="18"/>
          <w:szCs w:val="18"/>
        </w:rPr>
        <w:t xml:space="preserve"> 1 – Improved Patient Experience; 2 – Improved Quality of Care; 3 – Improved Population Health; 4 – Reduced Health Care Costs</w:t>
      </w:r>
    </w:p>
    <w:p w:rsidR="00E95BC2" w:rsidRDefault="00E95BC2" w:rsidP="00E44EB9">
      <w:pPr>
        <w:rPr>
          <w:rFonts w:ascii="Arial" w:hAnsi="Arial" w:cs="Arial"/>
          <w:b/>
        </w:rPr>
      </w:pPr>
    </w:p>
    <w:p w:rsidR="00BE2EC8" w:rsidRDefault="00BE2EC8" w:rsidP="00E44EB9">
      <w:pPr>
        <w:rPr>
          <w:rFonts w:ascii="Arial" w:hAnsi="Arial" w:cs="Arial"/>
          <w:b/>
        </w:rPr>
      </w:pPr>
    </w:p>
    <w:p w:rsidR="00BE2EC8" w:rsidRDefault="00BE2EC8" w:rsidP="00E44EB9">
      <w:pPr>
        <w:rPr>
          <w:rFonts w:ascii="Arial" w:hAnsi="Arial" w:cs="Arial"/>
          <w:b/>
        </w:rPr>
      </w:pPr>
    </w:p>
    <w:p w:rsidR="00BE2EC8" w:rsidRDefault="00BE2EC8" w:rsidP="00E44EB9">
      <w:pPr>
        <w:rPr>
          <w:rFonts w:ascii="Arial" w:hAnsi="Arial" w:cs="Arial"/>
          <w:b/>
        </w:rPr>
      </w:pPr>
    </w:p>
    <w:p w:rsidR="00BE2EC8" w:rsidRDefault="00BE2EC8" w:rsidP="00E44EB9">
      <w:pPr>
        <w:rPr>
          <w:rFonts w:ascii="Arial" w:hAnsi="Arial" w:cs="Arial"/>
          <w:b/>
        </w:rPr>
      </w:pPr>
    </w:p>
    <w:p w:rsidR="007B7A05" w:rsidRDefault="0042180E" w:rsidP="00E44EB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Table 2</w:t>
      </w:r>
      <w:r w:rsidR="000C1025">
        <w:rPr>
          <w:rFonts w:ascii="Arial" w:hAnsi="Arial" w:cs="Arial"/>
          <w:b/>
        </w:rPr>
        <w:t>.</w:t>
      </w:r>
      <w:proofErr w:type="gramEnd"/>
      <w:r w:rsidR="000C1025">
        <w:rPr>
          <w:rFonts w:ascii="Arial" w:hAnsi="Arial" w:cs="Arial"/>
          <w:b/>
        </w:rPr>
        <w:t xml:space="preserve"> </w:t>
      </w:r>
      <w:r w:rsidR="00EC4AAF">
        <w:rPr>
          <w:rFonts w:ascii="Arial" w:hAnsi="Arial" w:cs="Arial"/>
          <w:b/>
        </w:rPr>
        <w:t>Me</w:t>
      </w:r>
      <w:r w:rsidR="00E12433">
        <w:rPr>
          <w:rFonts w:ascii="Arial" w:hAnsi="Arial" w:cs="Arial"/>
          <w:b/>
        </w:rPr>
        <w:t>asures</w:t>
      </w:r>
      <w:r w:rsidR="00EC4AAF">
        <w:rPr>
          <w:rFonts w:ascii="Arial" w:hAnsi="Arial" w:cs="Arial"/>
          <w:b/>
        </w:rPr>
        <w:t xml:space="preserve"> </w:t>
      </w:r>
      <w:r w:rsidR="00EC4AAF" w:rsidRPr="00BB4C32">
        <w:rPr>
          <w:rFonts w:ascii="Arial" w:hAnsi="Arial" w:cs="Arial"/>
          <w:b/>
          <w:u w:val="single"/>
        </w:rPr>
        <w:t>NOT</w:t>
      </w:r>
      <w:r w:rsidR="00EC4AAF">
        <w:rPr>
          <w:rFonts w:ascii="Arial" w:hAnsi="Arial" w:cs="Arial"/>
          <w:b/>
        </w:rPr>
        <w:t xml:space="preserve"> </w:t>
      </w:r>
      <w:r w:rsidR="00E12433">
        <w:rPr>
          <w:rFonts w:ascii="Arial" w:hAnsi="Arial" w:cs="Arial"/>
          <w:b/>
        </w:rPr>
        <w:t>Select</w:t>
      </w:r>
      <w:r w:rsidR="00EC4AAF">
        <w:rPr>
          <w:rFonts w:ascii="Arial" w:hAnsi="Arial" w:cs="Arial"/>
          <w:b/>
        </w:rPr>
        <w:t>ed</w:t>
      </w:r>
      <w:r w:rsidR="00E12433">
        <w:rPr>
          <w:rFonts w:ascii="Arial" w:hAnsi="Arial" w:cs="Arial"/>
          <w:b/>
        </w:rPr>
        <w:t xml:space="preserve"> for Inclusion</w:t>
      </w:r>
      <w:r w:rsidR="00EC4AAF">
        <w:rPr>
          <w:rFonts w:ascii="Arial" w:hAnsi="Arial" w:cs="Arial"/>
          <w:b/>
        </w:rPr>
        <w:t xml:space="preserve"> </w:t>
      </w:r>
      <w:r w:rsidR="001E6B82">
        <w:rPr>
          <w:rFonts w:ascii="Arial" w:hAnsi="Arial" w:cs="Arial"/>
          <w:b/>
        </w:rPr>
        <w:t>by Core</w:t>
      </w:r>
      <w:r w:rsidR="00E12433">
        <w:rPr>
          <w:rFonts w:ascii="Arial" w:hAnsi="Arial" w:cs="Arial"/>
          <w:b/>
        </w:rPr>
        <w:t xml:space="preserve"> Metric</w:t>
      </w:r>
      <w:r w:rsidR="001E6B82">
        <w:rPr>
          <w:rFonts w:ascii="Arial" w:hAnsi="Arial" w:cs="Arial"/>
          <w:b/>
        </w:rPr>
        <w:t xml:space="preserve"> Committee</w:t>
      </w:r>
    </w:p>
    <w:tbl>
      <w:tblPr>
        <w:tblStyle w:val="TableGrid"/>
        <w:tblpPr w:leftFromText="180" w:rightFromText="180" w:vertAnchor="text" w:horzAnchor="margin" w:tblpY="7"/>
        <w:tblW w:w="13248" w:type="dxa"/>
        <w:tblLayout w:type="fixed"/>
        <w:tblLook w:val="04A0" w:firstRow="1" w:lastRow="0" w:firstColumn="1" w:lastColumn="0" w:noHBand="0" w:noVBand="1"/>
      </w:tblPr>
      <w:tblGrid>
        <w:gridCol w:w="5688"/>
        <w:gridCol w:w="2970"/>
        <w:gridCol w:w="1350"/>
        <w:gridCol w:w="1530"/>
        <w:gridCol w:w="1710"/>
      </w:tblGrid>
      <w:tr w:rsidR="00EC4AAF" w:rsidTr="001E6B82">
        <w:tc>
          <w:tcPr>
            <w:tcW w:w="5688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center"/>
          </w:tcPr>
          <w:p w:rsidR="00EC4AAF" w:rsidRPr="00987A5D" w:rsidRDefault="00EC4AAF" w:rsidP="001E6B8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A5D">
              <w:rPr>
                <w:rFonts w:ascii="Arial" w:hAnsi="Arial" w:cs="Arial"/>
                <w:b/>
                <w:color w:val="FFFFFF" w:themeColor="background1"/>
              </w:rPr>
              <w:t>Measure</w:t>
            </w:r>
          </w:p>
        </w:tc>
        <w:tc>
          <w:tcPr>
            <w:tcW w:w="2970" w:type="dxa"/>
            <w:shd w:val="clear" w:color="auto" w:fill="31849B" w:themeFill="accent5" w:themeFillShade="BF"/>
            <w:vAlign w:val="center"/>
          </w:tcPr>
          <w:p w:rsidR="00EC4AAF" w:rsidRPr="00987A5D" w:rsidRDefault="00EC4AAF" w:rsidP="001E6B8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7A5D">
              <w:rPr>
                <w:rFonts w:ascii="Arial" w:hAnsi="Arial" w:cs="Arial"/>
                <w:b/>
                <w:color w:val="FFFFFF" w:themeColor="background1"/>
              </w:rPr>
              <w:t>SIM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Initiatives</w:t>
            </w:r>
            <w:r w:rsidRPr="00987A5D">
              <w:rPr>
                <w:rFonts w:ascii="Arial" w:hAnsi="Arial" w:cs="Arial"/>
                <w:b/>
                <w:color w:val="FFFFFF" w:themeColor="background1"/>
              </w:rPr>
              <w:t xml:space="preserve"> Using Measure</w:t>
            </w:r>
          </w:p>
        </w:tc>
        <w:tc>
          <w:tcPr>
            <w:tcW w:w="1350" w:type="dxa"/>
            <w:shd w:val="clear" w:color="auto" w:fill="31849B" w:themeFill="accent5" w:themeFillShade="BF"/>
            <w:vAlign w:val="center"/>
          </w:tcPr>
          <w:p w:rsidR="00EC4AAF" w:rsidRPr="00987A5D" w:rsidRDefault="00EC4AAF" w:rsidP="001E6B8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Strategic Pillars*</w:t>
            </w:r>
          </w:p>
        </w:tc>
        <w:tc>
          <w:tcPr>
            <w:tcW w:w="1530" w:type="dxa"/>
            <w:shd w:val="clear" w:color="auto" w:fill="31849B" w:themeFill="accent5" w:themeFillShade="BF"/>
            <w:vAlign w:val="center"/>
          </w:tcPr>
          <w:p w:rsidR="00EC4AAF" w:rsidRPr="00987A5D" w:rsidRDefault="00EC4AAF" w:rsidP="001E6B8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Triple Aim Outcomes**</w:t>
            </w:r>
          </w:p>
        </w:tc>
        <w:tc>
          <w:tcPr>
            <w:tcW w:w="1710" w:type="dxa"/>
            <w:shd w:val="clear" w:color="auto" w:fill="31849B" w:themeFill="accent5" w:themeFillShade="BF"/>
            <w:vAlign w:val="center"/>
          </w:tcPr>
          <w:p w:rsidR="00EC4AAF" w:rsidRDefault="00EC4AAF" w:rsidP="001E6B8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Rationale / Notes</w:t>
            </w:r>
          </w:p>
        </w:tc>
      </w:tr>
      <w:tr w:rsidR="00EC4AAF" w:rsidTr="001E6B82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EC4AAF" w:rsidRPr="00810A06" w:rsidRDefault="00EC4AAF" w:rsidP="001E6B82">
            <w:pPr>
              <w:rPr>
                <w:rFonts w:ascii="Arial" w:hAnsi="Arial" w:cs="Arial"/>
                <w:b/>
              </w:rPr>
            </w:pPr>
            <w:r w:rsidRPr="00810A06">
              <w:rPr>
                <w:rFonts w:ascii="Arial" w:hAnsi="Arial" w:cs="Arial"/>
                <w:b/>
                <w:color w:val="FFFFFF" w:themeColor="background1"/>
              </w:rPr>
              <w:t>ED Utilization</w:t>
            </w:r>
          </w:p>
        </w:tc>
      </w:tr>
      <w:tr w:rsidR="00BB4C32" w:rsidTr="00BE2EC8">
        <w:trPr>
          <w:trHeight w:val="908"/>
        </w:trPr>
        <w:tc>
          <w:tcPr>
            <w:tcW w:w="5688" w:type="dxa"/>
            <w:vAlign w:val="center"/>
          </w:tcPr>
          <w:p w:rsidR="00BB4C32" w:rsidRPr="00331DD5" w:rsidRDefault="00BB4C32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utilization: Number of ED visits per 1000 member months</w:t>
            </w:r>
          </w:p>
        </w:tc>
        <w:tc>
          <w:tcPr>
            <w:tcW w:w="2970" w:type="dxa"/>
            <w:vAlign w:val="center"/>
          </w:tcPr>
          <w:p w:rsidR="00BB4C32" w:rsidRPr="00331DD5" w:rsidRDefault="00BB4C32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Health Homes, ME Behavioral Health Homes, PCMH</w:t>
            </w:r>
          </w:p>
        </w:tc>
        <w:tc>
          <w:tcPr>
            <w:tcW w:w="1350" w:type="dxa"/>
            <w:vAlign w:val="center"/>
          </w:tcPr>
          <w:p w:rsidR="00BB4C32" w:rsidRDefault="00BB4C32" w:rsidP="001E6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</w:t>
            </w:r>
          </w:p>
        </w:tc>
        <w:tc>
          <w:tcPr>
            <w:tcW w:w="1530" w:type="dxa"/>
            <w:vAlign w:val="center"/>
          </w:tcPr>
          <w:p w:rsidR="00BB4C32" w:rsidRDefault="00BB4C32" w:rsidP="001E6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2, 4</w:t>
            </w:r>
          </w:p>
        </w:tc>
        <w:tc>
          <w:tcPr>
            <w:tcW w:w="1710" w:type="dxa"/>
            <w:vAlign w:val="center"/>
          </w:tcPr>
          <w:p w:rsidR="00BB4C32" w:rsidRDefault="00BE20CD" w:rsidP="005A2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Avoidable ER use </w:t>
            </w:r>
            <w:r w:rsidR="005A2671">
              <w:rPr>
                <w:rFonts w:ascii="Arial" w:hAnsi="Arial" w:cs="Arial"/>
              </w:rPr>
              <w:t xml:space="preserve">stronger measure of </w:t>
            </w:r>
            <w:r>
              <w:rPr>
                <w:rFonts w:ascii="Arial" w:hAnsi="Arial" w:cs="Arial"/>
              </w:rPr>
              <w:t>SIM goals</w:t>
            </w:r>
          </w:p>
        </w:tc>
      </w:tr>
      <w:tr w:rsidR="00EC4AAF" w:rsidRPr="0020205D" w:rsidTr="001E6B82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EC4AAF" w:rsidRPr="00810A06" w:rsidRDefault="00BB4C32" w:rsidP="001E6B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Readmissions</w:t>
            </w:r>
            <w:r w:rsidR="005A2671">
              <w:rPr>
                <w:rFonts w:ascii="Arial" w:hAnsi="Arial" w:cs="Arial"/>
                <w:b/>
                <w:color w:val="FFFFFF" w:themeColor="background1"/>
              </w:rPr>
              <w:t>/Preventable Hospitalizations</w:t>
            </w:r>
          </w:p>
        </w:tc>
      </w:tr>
      <w:tr w:rsidR="00BB4C32" w:rsidRPr="0020205D" w:rsidTr="00BE2EC8">
        <w:trPr>
          <w:trHeight w:val="1277"/>
        </w:trPr>
        <w:tc>
          <w:tcPr>
            <w:tcW w:w="5688" w:type="dxa"/>
            <w:vAlign w:val="center"/>
          </w:tcPr>
          <w:p w:rsidR="00BB4C32" w:rsidRPr="008D6017" w:rsidRDefault="00BB4C32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ACSC admissions</w:t>
            </w:r>
            <w:r w:rsidRPr="00141182">
              <w:rPr>
                <w:rFonts w:ascii="Arial" w:hAnsi="Arial" w:cs="Arial"/>
              </w:rPr>
              <w:t xml:space="preserve"> Ambulatory care sensitive conditions: age-standardized acute care hospitalization rate for conditions where appropriate ambulatory care prevents or reduces the need for admissi</w:t>
            </w:r>
            <w:r>
              <w:rPr>
                <w:rFonts w:ascii="Arial" w:hAnsi="Arial" w:cs="Arial"/>
              </w:rPr>
              <w:t xml:space="preserve">on to the hospital, per 100,000 </w:t>
            </w:r>
            <w:proofErr w:type="gramStart"/>
            <w:r w:rsidRPr="00141182">
              <w:rPr>
                <w:rFonts w:ascii="Arial" w:hAnsi="Arial" w:cs="Arial"/>
              </w:rPr>
              <w:t>population</w:t>
            </w:r>
            <w:proofErr w:type="gramEnd"/>
            <w:r w:rsidRPr="00141182">
              <w:rPr>
                <w:rFonts w:ascii="Arial" w:hAnsi="Arial" w:cs="Arial"/>
              </w:rPr>
              <w:t xml:space="preserve"> under age 75 years.</w:t>
            </w:r>
          </w:p>
        </w:tc>
        <w:tc>
          <w:tcPr>
            <w:tcW w:w="2970" w:type="dxa"/>
            <w:vAlign w:val="center"/>
          </w:tcPr>
          <w:p w:rsidR="00BB4C32" w:rsidRPr="008D6017" w:rsidRDefault="00BB4C32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Health Homes, ME Behavioral Health Homes, PCMH, Accountable Communities, 1 of 4 ACI Commercial Payers</w:t>
            </w:r>
          </w:p>
        </w:tc>
        <w:tc>
          <w:tcPr>
            <w:tcW w:w="1350" w:type="dxa"/>
            <w:vAlign w:val="center"/>
          </w:tcPr>
          <w:p w:rsidR="00BB4C32" w:rsidRDefault="00BB4C32" w:rsidP="001E6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1, 3, 4, 6</w:t>
            </w:r>
          </w:p>
        </w:tc>
        <w:tc>
          <w:tcPr>
            <w:tcW w:w="1530" w:type="dxa"/>
            <w:vAlign w:val="center"/>
          </w:tcPr>
          <w:p w:rsidR="00BB4C32" w:rsidRDefault="00BB4C32" w:rsidP="001E6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2, 3, 4</w:t>
            </w:r>
          </w:p>
        </w:tc>
        <w:tc>
          <w:tcPr>
            <w:tcW w:w="1710" w:type="dxa"/>
            <w:vAlign w:val="center"/>
          </w:tcPr>
          <w:p w:rsidR="00BB4C32" w:rsidRDefault="005A2671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Readmissions stronger measure of SIM goals</w:t>
            </w:r>
          </w:p>
        </w:tc>
      </w:tr>
      <w:tr w:rsidR="00BB4C32" w:rsidRPr="0020205D" w:rsidTr="001E6B82">
        <w:trPr>
          <w:trHeight w:val="758"/>
        </w:trPr>
        <w:tc>
          <w:tcPr>
            <w:tcW w:w="5688" w:type="dxa"/>
            <w:vAlign w:val="center"/>
          </w:tcPr>
          <w:p w:rsidR="00BB4C32" w:rsidRPr="008D6017" w:rsidRDefault="00BB4C32" w:rsidP="001E6B82">
            <w:pPr>
              <w:rPr>
                <w:rFonts w:ascii="Arial" w:hAnsi="Arial" w:cs="Arial"/>
              </w:rPr>
            </w:pPr>
            <w:r w:rsidRPr="00803ABB">
              <w:rPr>
                <w:rFonts w:ascii="Arial" w:hAnsi="Arial" w:cs="Arial"/>
              </w:rPr>
              <w:t>All readmissions for behavioral health diagnoses, including IM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2970" w:type="dxa"/>
            <w:vAlign w:val="center"/>
          </w:tcPr>
          <w:p w:rsidR="00BB4C32" w:rsidRPr="008D6017" w:rsidRDefault="00BB4C32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Behavioral Health Homes</w:t>
            </w:r>
          </w:p>
        </w:tc>
        <w:tc>
          <w:tcPr>
            <w:tcW w:w="1350" w:type="dxa"/>
            <w:vAlign w:val="center"/>
          </w:tcPr>
          <w:p w:rsidR="00BB4C32" w:rsidRDefault="00BB4C32" w:rsidP="001E6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</w:t>
            </w:r>
          </w:p>
        </w:tc>
        <w:tc>
          <w:tcPr>
            <w:tcW w:w="1530" w:type="dxa"/>
            <w:vAlign w:val="center"/>
          </w:tcPr>
          <w:p w:rsidR="00BB4C32" w:rsidRDefault="00BB4C32" w:rsidP="001E6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2, 3, 4</w:t>
            </w:r>
          </w:p>
        </w:tc>
        <w:tc>
          <w:tcPr>
            <w:tcW w:w="1710" w:type="dxa"/>
            <w:vAlign w:val="center"/>
          </w:tcPr>
          <w:p w:rsidR="00BB4C32" w:rsidRDefault="005A2671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Specifications for this measure still under development</w:t>
            </w:r>
          </w:p>
        </w:tc>
      </w:tr>
      <w:tr w:rsidR="00DA2F23" w:rsidTr="001E6B82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DA2F23" w:rsidRPr="00810A06" w:rsidRDefault="00DA2F23" w:rsidP="001E6B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Pediatric/Adolescent Care</w:t>
            </w:r>
          </w:p>
        </w:tc>
      </w:tr>
      <w:tr w:rsidR="00DA2F23" w:rsidTr="00BE2EC8">
        <w:trPr>
          <w:trHeight w:val="1322"/>
        </w:trPr>
        <w:tc>
          <w:tcPr>
            <w:tcW w:w="5688" w:type="dxa"/>
            <w:vAlign w:val="center"/>
          </w:tcPr>
          <w:p w:rsidR="00DA2F23" w:rsidRPr="00590AB3" w:rsidRDefault="00DA2F23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Adolescent well-care visits (ages 12-20)</w:t>
            </w:r>
          </w:p>
        </w:tc>
        <w:tc>
          <w:tcPr>
            <w:tcW w:w="2970" w:type="dxa"/>
            <w:vAlign w:val="center"/>
          </w:tcPr>
          <w:p w:rsidR="00DA2F23" w:rsidRPr="00590AB3" w:rsidRDefault="00DA2F23" w:rsidP="001E6B82">
            <w:pPr>
              <w:rPr>
                <w:rFonts w:ascii="Arial" w:hAnsi="Arial" w:cs="Arial"/>
                <w:b/>
              </w:rPr>
            </w:pPr>
            <w:r w:rsidRPr="00590AB3">
              <w:rPr>
                <w:rFonts w:ascii="Arial" w:hAnsi="Arial" w:cs="Arial"/>
              </w:rPr>
              <w:t>ME Health Homes; ME Behavioral Health Homes; 2 of 4 ACI Commercial Payers; Accountable Communities</w:t>
            </w:r>
          </w:p>
        </w:tc>
        <w:tc>
          <w:tcPr>
            <w:tcW w:w="1350" w:type="dxa"/>
            <w:vAlign w:val="center"/>
          </w:tcPr>
          <w:p w:rsidR="00DA2F23" w:rsidRPr="00590AB3" w:rsidRDefault="00DA2F23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vAlign w:val="center"/>
          </w:tcPr>
          <w:p w:rsidR="00DA2F23" w:rsidRPr="00590AB3" w:rsidRDefault="00DA2F23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vAlign w:val="center"/>
          </w:tcPr>
          <w:p w:rsidR="00DA2F23" w:rsidRDefault="005A2671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 for younger children represents goals of early intervention</w:t>
            </w:r>
          </w:p>
        </w:tc>
      </w:tr>
      <w:tr w:rsidR="00DA2F23" w:rsidTr="00BE2EC8">
        <w:trPr>
          <w:trHeight w:val="440"/>
        </w:trPr>
        <w:tc>
          <w:tcPr>
            <w:tcW w:w="5688" w:type="dxa"/>
            <w:vAlign w:val="center"/>
          </w:tcPr>
          <w:p w:rsidR="00DA2F23" w:rsidRPr="00590AB3" w:rsidRDefault="00DA2F23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 xml:space="preserve">Pediatric ACSC Admissions </w:t>
            </w:r>
          </w:p>
        </w:tc>
        <w:tc>
          <w:tcPr>
            <w:tcW w:w="2970" w:type="dxa"/>
            <w:vAlign w:val="center"/>
          </w:tcPr>
          <w:p w:rsidR="00DA2F23" w:rsidRPr="00590AB3" w:rsidRDefault="00DA2F23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All models currently track ACSC admissions (composite)</w:t>
            </w:r>
          </w:p>
        </w:tc>
        <w:tc>
          <w:tcPr>
            <w:tcW w:w="1350" w:type="dxa"/>
            <w:vAlign w:val="center"/>
          </w:tcPr>
          <w:p w:rsidR="00DA2F23" w:rsidRPr="00590AB3" w:rsidRDefault="00DA2F23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1, 3, 4, 6</w:t>
            </w:r>
          </w:p>
        </w:tc>
        <w:tc>
          <w:tcPr>
            <w:tcW w:w="1530" w:type="dxa"/>
            <w:vAlign w:val="center"/>
          </w:tcPr>
          <w:p w:rsidR="00DA2F23" w:rsidRPr="00590AB3" w:rsidRDefault="00DA2F23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2, 3, 4</w:t>
            </w:r>
          </w:p>
        </w:tc>
        <w:tc>
          <w:tcPr>
            <w:tcW w:w="1710" w:type="dxa"/>
            <w:vAlign w:val="center"/>
          </w:tcPr>
          <w:p w:rsidR="00DA2F23" w:rsidRPr="00590AB3" w:rsidRDefault="005A2671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Rare events</w:t>
            </w:r>
          </w:p>
        </w:tc>
      </w:tr>
      <w:tr w:rsidR="00DA2F23" w:rsidTr="001E6B82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DA2F23" w:rsidRPr="00810A06" w:rsidRDefault="00F84E91" w:rsidP="001E6B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Obesity</w:t>
            </w:r>
          </w:p>
        </w:tc>
      </w:tr>
      <w:tr w:rsidR="00DA2F23" w:rsidTr="001E6B82">
        <w:trPr>
          <w:trHeight w:val="875"/>
        </w:trPr>
        <w:tc>
          <w:tcPr>
            <w:tcW w:w="5688" w:type="dxa"/>
            <w:vAlign w:val="center"/>
          </w:tcPr>
          <w:p w:rsidR="00DA2F23" w:rsidRPr="008D6017" w:rsidRDefault="00F84E91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Obesity</w:t>
            </w:r>
          </w:p>
        </w:tc>
        <w:tc>
          <w:tcPr>
            <w:tcW w:w="2970" w:type="dxa"/>
            <w:vAlign w:val="center"/>
          </w:tcPr>
          <w:p w:rsidR="00DA2F23" w:rsidRPr="008D6017" w:rsidRDefault="00F84E91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None, available from BRFSS</w:t>
            </w:r>
          </w:p>
        </w:tc>
        <w:tc>
          <w:tcPr>
            <w:tcW w:w="1350" w:type="dxa"/>
            <w:vAlign w:val="center"/>
          </w:tcPr>
          <w:p w:rsidR="00DA2F23" w:rsidRDefault="00DA2F23" w:rsidP="001E6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</w:t>
            </w:r>
          </w:p>
        </w:tc>
        <w:tc>
          <w:tcPr>
            <w:tcW w:w="1530" w:type="dxa"/>
            <w:vAlign w:val="center"/>
          </w:tcPr>
          <w:p w:rsidR="00DA2F23" w:rsidRDefault="00F84E91" w:rsidP="001E6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2F2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  <w:vAlign w:val="center"/>
          </w:tcPr>
          <w:p w:rsidR="00DA2F23" w:rsidRDefault="005A2671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activity metric better targets goals around patient engagement in health</w:t>
            </w:r>
          </w:p>
        </w:tc>
      </w:tr>
      <w:tr w:rsidR="00DA2F23" w:rsidTr="001E6B82">
        <w:trPr>
          <w:trHeight w:val="144"/>
        </w:trPr>
        <w:tc>
          <w:tcPr>
            <w:tcW w:w="13248" w:type="dxa"/>
            <w:gridSpan w:val="5"/>
            <w:shd w:val="clear" w:color="auto" w:fill="31849B" w:themeFill="accent5" w:themeFillShade="BF"/>
            <w:vAlign w:val="center"/>
          </w:tcPr>
          <w:p w:rsidR="00DA2F23" w:rsidRPr="00810A06" w:rsidRDefault="00F84E91" w:rsidP="001E6B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Diabetes Care</w:t>
            </w:r>
          </w:p>
        </w:tc>
      </w:tr>
      <w:tr w:rsidR="00F84E91" w:rsidTr="00BE2EC8">
        <w:trPr>
          <w:trHeight w:val="1538"/>
        </w:trPr>
        <w:tc>
          <w:tcPr>
            <w:tcW w:w="5688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Diabetic Care HbA1c (ages 5-17)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2F6188" w:rsidRDefault="00F84E91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 xml:space="preserve">All Models except PCMH, </w:t>
            </w:r>
          </w:p>
          <w:p w:rsidR="00F84E91" w:rsidRPr="00590AB3" w:rsidRDefault="00F84E91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</w:t>
            </w:r>
            <w:r w:rsidRPr="00590AB3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ACI P</w:t>
            </w:r>
            <w:r w:rsidRPr="00590AB3">
              <w:rPr>
                <w:rFonts w:ascii="Arial" w:hAnsi="Arial" w:cs="Arial"/>
              </w:rPr>
              <w:t>ayers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1, 2, 5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84E91" w:rsidRPr="00590AB3" w:rsidRDefault="005A2671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Pediatric diabetes more likely to be Type 1, less of a link to population health</w:t>
            </w:r>
          </w:p>
        </w:tc>
      </w:tr>
      <w:tr w:rsidR="00F84E91" w:rsidTr="001E6B82">
        <w:trPr>
          <w:trHeight w:val="259"/>
        </w:trPr>
        <w:tc>
          <w:tcPr>
            <w:tcW w:w="5688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Diabetic Eye Care Exam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All Models, 3</w:t>
            </w:r>
            <w:r>
              <w:rPr>
                <w:rFonts w:ascii="Arial" w:hAnsi="Arial" w:cs="Arial"/>
              </w:rPr>
              <w:t>/</w:t>
            </w:r>
            <w:r w:rsidRPr="00590AB3">
              <w:rPr>
                <w:rFonts w:ascii="Arial" w:hAnsi="Arial" w:cs="Arial"/>
              </w:rPr>
              <w:t xml:space="preserve"> 4  ACI Payers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1, 2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84E91" w:rsidRPr="00590AB3" w:rsidRDefault="005A2671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HbA1C measure better link to overall diabetes care</w:t>
            </w:r>
          </w:p>
        </w:tc>
      </w:tr>
      <w:tr w:rsidR="00F84E91" w:rsidTr="001E6B82">
        <w:trPr>
          <w:trHeight w:val="259"/>
        </w:trPr>
        <w:tc>
          <w:tcPr>
            <w:tcW w:w="5688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Diabetic LDL measured within previous 12 months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All Models, 3</w:t>
            </w:r>
            <w:r>
              <w:rPr>
                <w:rFonts w:ascii="Arial" w:hAnsi="Arial" w:cs="Arial"/>
              </w:rPr>
              <w:t>/</w:t>
            </w:r>
            <w:r w:rsidRPr="00590AB3">
              <w:rPr>
                <w:rFonts w:ascii="Arial" w:hAnsi="Arial" w:cs="Arial"/>
              </w:rPr>
              <w:t>4 ACI Payers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1, 2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84E91" w:rsidRDefault="005A2671" w:rsidP="001E6B82">
            <w:r>
              <w:rPr>
                <w:rFonts w:ascii="Arial" w:hAnsi="Arial" w:cs="Arial"/>
              </w:rPr>
              <w:t>HbA1C measure better link to overall diabetes care</w:t>
            </w:r>
          </w:p>
        </w:tc>
      </w:tr>
      <w:tr w:rsidR="00F84E91" w:rsidTr="001E6B82">
        <w:trPr>
          <w:trHeight w:val="259"/>
        </w:trPr>
        <w:tc>
          <w:tcPr>
            <w:tcW w:w="5688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Diabetic Nephropathy Screening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F84E91" w:rsidRPr="00590AB3" w:rsidRDefault="002F6188" w:rsidP="001E6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Models, 1</w:t>
            </w:r>
            <w:r w:rsidR="00F84E9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4 ACI </w:t>
            </w:r>
            <w:r w:rsidR="00F84E91" w:rsidRPr="00590AB3">
              <w:rPr>
                <w:rFonts w:ascii="Arial" w:hAnsi="Arial" w:cs="Arial"/>
              </w:rPr>
              <w:t>Payers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1, 2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84E91" w:rsidRPr="00590AB3" w:rsidRDefault="00F84E91" w:rsidP="001E6B82">
            <w:pPr>
              <w:jc w:val="center"/>
              <w:rPr>
                <w:rFonts w:ascii="Arial" w:hAnsi="Arial" w:cs="Arial"/>
              </w:rPr>
            </w:pPr>
            <w:r w:rsidRPr="00590AB3">
              <w:rPr>
                <w:rFonts w:ascii="Arial" w:hAnsi="Arial" w:cs="Arial"/>
              </w:rPr>
              <w:t>2, 3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84E91" w:rsidRDefault="005A2671" w:rsidP="001E6B82">
            <w:r>
              <w:rPr>
                <w:rFonts w:ascii="Arial" w:hAnsi="Arial" w:cs="Arial"/>
              </w:rPr>
              <w:t>HbA1C measure better link to overall diabetes care</w:t>
            </w:r>
          </w:p>
        </w:tc>
      </w:tr>
    </w:tbl>
    <w:p w:rsidR="00DA5255" w:rsidRDefault="00DA5255" w:rsidP="00DA5255">
      <w:pPr>
        <w:rPr>
          <w:rFonts w:ascii="Arial" w:hAnsi="Arial" w:cs="Arial"/>
          <w:b/>
          <w:sz w:val="18"/>
          <w:szCs w:val="18"/>
        </w:rPr>
      </w:pPr>
      <w:r w:rsidRPr="008A21A5">
        <w:rPr>
          <w:rFonts w:ascii="Arial" w:hAnsi="Arial" w:cs="Arial"/>
          <w:b/>
          <w:sz w:val="18"/>
          <w:szCs w:val="18"/>
        </w:rPr>
        <w:t xml:space="preserve">* Strategic </w:t>
      </w:r>
      <w:r>
        <w:rPr>
          <w:rFonts w:ascii="Arial" w:hAnsi="Arial" w:cs="Arial"/>
          <w:b/>
          <w:sz w:val="18"/>
          <w:szCs w:val="18"/>
        </w:rPr>
        <w:t>P</w:t>
      </w:r>
      <w:r w:rsidRPr="008A21A5">
        <w:rPr>
          <w:rFonts w:ascii="Arial" w:hAnsi="Arial" w:cs="Arial"/>
          <w:b/>
          <w:sz w:val="18"/>
          <w:szCs w:val="18"/>
        </w:rPr>
        <w:t>illars:</w:t>
      </w:r>
      <w:r w:rsidRPr="008A21A5">
        <w:rPr>
          <w:rFonts w:ascii="Arial" w:hAnsi="Arial" w:cs="Arial"/>
          <w:sz w:val="18"/>
          <w:szCs w:val="18"/>
        </w:rPr>
        <w:t xml:space="preserve"> 1 – Strengthen Primary Care; 2 – Integrate Physical and Behavioral Health; 3 – Develop New Workforce Models; 4 – Develop New Payment Models; 5 – Centralize Data &amp; Analysis; 6 – Engage People &amp; Communities</w:t>
      </w:r>
    </w:p>
    <w:p w:rsidR="005A58B8" w:rsidRDefault="00DA5255" w:rsidP="00DA5255">
      <w:pPr>
        <w:rPr>
          <w:rFonts w:ascii="Arial" w:hAnsi="Arial" w:cs="Arial"/>
        </w:rPr>
      </w:pPr>
      <w:r w:rsidRPr="008A21A5">
        <w:rPr>
          <w:rFonts w:ascii="Arial" w:hAnsi="Arial" w:cs="Arial"/>
          <w:b/>
          <w:sz w:val="18"/>
          <w:szCs w:val="18"/>
        </w:rPr>
        <w:t>** Triple Aim Outcomes:</w:t>
      </w:r>
      <w:r w:rsidRPr="008A21A5">
        <w:rPr>
          <w:rFonts w:ascii="Arial" w:hAnsi="Arial" w:cs="Arial"/>
          <w:sz w:val="18"/>
          <w:szCs w:val="18"/>
        </w:rPr>
        <w:t xml:space="preserve"> 1 – Improved Patient Experience; 2 – Improved Quality of Care; 3 – Improved Population Health; 4 – Reduced Health Care Costs</w:t>
      </w:r>
    </w:p>
    <w:sectPr w:rsidR="005A58B8" w:rsidSect="00354DE2">
      <w:pgSz w:w="15840" w:h="12240" w:orient="landscape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60" w:rsidRDefault="00D01D60">
      <w:r>
        <w:separator/>
      </w:r>
    </w:p>
  </w:endnote>
  <w:endnote w:type="continuationSeparator" w:id="0">
    <w:p w:rsidR="00D01D60" w:rsidRDefault="00D0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60" w:rsidRDefault="00D01D60" w:rsidP="00C34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D60" w:rsidRDefault="00D01D60" w:rsidP="00824D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840397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828893747"/>
          <w:docPartObj>
            <w:docPartGallery w:val="Page Numbers (Top of Page)"/>
            <w:docPartUnique/>
          </w:docPartObj>
        </w:sdtPr>
        <w:sdtEndPr/>
        <w:sdtContent>
          <w:p w:rsidR="00D01D60" w:rsidRPr="00E61AA0" w:rsidRDefault="00D01D60">
            <w:pPr>
              <w:pStyle w:val="Footer"/>
              <w:jc w:val="right"/>
              <w:rPr>
                <w:rFonts w:ascii="Arial Narrow" w:hAnsi="Arial Narrow"/>
              </w:rPr>
            </w:pPr>
            <w:r w:rsidRPr="00E61AA0">
              <w:rPr>
                <w:rFonts w:ascii="Arial Narrow" w:hAnsi="Arial Narrow"/>
              </w:rPr>
              <w:t xml:space="preserve">Page </w:t>
            </w:r>
            <w:r w:rsidRPr="00E61AA0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E61AA0">
              <w:rPr>
                <w:rFonts w:ascii="Arial Narrow" w:hAnsi="Arial Narrow"/>
                <w:bCs/>
              </w:rPr>
              <w:instrText xml:space="preserve"> PAGE </w:instrText>
            </w:r>
            <w:r w:rsidRPr="00E61AA0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8076AC">
              <w:rPr>
                <w:rFonts w:ascii="Arial Narrow" w:hAnsi="Arial Narrow"/>
                <w:bCs/>
                <w:noProof/>
              </w:rPr>
              <w:t>- 5 -</w:t>
            </w:r>
            <w:r w:rsidRPr="00E61AA0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E61AA0">
              <w:rPr>
                <w:rFonts w:ascii="Arial Narrow" w:hAnsi="Arial Narrow"/>
              </w:rPr>
              <w:t xml:space="preserve"> of </w:t>
            </w:r>
            <w:r w:rsidRPr="00E61AA0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E61AA0">
              <w:rPr>
                <w:rFonts w:ascii="Arial Narrow" w:hAnsi="Arial Narrow"/>
                <w:bCs/>
              </w:rPr>
              <w:instrText xml:space="preserve"> NUMPAGES  </w:instrText>
            </w:r>
            <w:r w:rsidRPr="00E61AA0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8076AC">
              <w:rPr>
                <w:rFonts w:ascii="Arial Narrow" w:hAnsi="Arial Narrow"/>
                <w:bCs/>
                <w:noProof/>
              </w:rPr>
              <w:t>5</w:t>
            </w:r>
            <w:r w:rsidRPr="00E61AA0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D60" w:rsidRPr="00E61AA0" w:rsidRDefault="00D01D60" w:rsidP="001A09A4">
    <w:pPr>
      <w:pStyle w:val="NoSpacing"/>
      <w:rPr>
        <w:rFonts w:ascii="Arial Narrow" w:hAnsi="Arial Narrow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578836"/>
      <w:docPartObj>
        <w:docPartGallery w:val="Page Numbers (Bottom of Page)"/>
        <w:docPartUnique/>
      </w:docPartObj>
    </w:sdtPr>
    <w:sdtEndPr/>
    <w:sdtContent>
      <w:sdt>
        <w:sdtPr>
          <w:id w:val="585808731"/>
          <w:docPartObj>
            <w:docPartGallery w:val="Page Numbers (Top of Page)"/>
            <w:docPartUnique/>
          </w:docPartObj>
        </w:sdtPr>
        <w:sdtEndPr/>
        <w:sdtContent>
          <w:p w:rsidR="00D01D60" w:rsidRDefault="00D01D60">
            <w:pPr>
              <w:pStyle w:val="Footer"/>
              <w:jc w:val="right"/>
            </w:pPr>
            <w:r w:rsidRPr="0020726C">
              <w:rPr>
                <w:rFonts w:ascii="Arial Narrow" w:hAnsi="Arial Narrow"/>
              </w:rPr>
              <w:t xml:space="preserve">Page </w:t>
            </w:r>
            <w:r w:rsidRPr="0020726C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20726C">
              <w:rPr>
                <w:rFonts w:ascii="Arial Narrow" w:hAnsi="Arial Narrow"/>
                <w:bCs/>
              </w:rPr>
              <w:instrText xml:space="preserve"> PAGE </w:instrText>
            </w:r>
            <w:r w:rsidRPr="0020726C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8076AC">
              <w:rPr>
                <w:rFonts w:ascii="Arial Narrow" w:hAnsi="Arial Narrow"/>
                <w:bCs/>
                <w:noProof/>
              </w:rPr>
              <w:t>- 2 -</w:t>
            </w:r>
            <w:r w:rsidRPr="0020726C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20726C">
              <w:rPr>
                <w:rFonts w:ascii="Arial Narrow" w:hAnsi="Arial Narrow"/>
              </w:rPr>
              <w:t xml:space="preserve"> of </w:t>
            </w:r>
            <w:r w:rsidRPr="0020726C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20726C">
              <w:rPr>
                <w:rFonts w:ascii="Arial Narrow" w:hAnsi="Arial Narrow"/>
                <w:bCs/>
              </w:rPr>
              <w:instrText xml:space="preserve"> NUMPAGES  </w:instrText>
            </w:r>
            <w:r w:rsidRPr="0020726C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8076AC">
              <w:rPr>
                <w:rFonts w:ascii="Arial Narrow" w:hAnsi="Arial Narrow"/>
                <w:bCs/>
                <w:noProof/>
              </w:rPr>
              <w:t>5</w:t>
            </w:r>
            <w:r w:rsidRPr="0020726C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D60" w:rsidRDefault="00D01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60" w:rsidRDefault="00D01D60">
      <w:r>
        <w:separator/>
      </w:r>
    </w:p>
  </w:footnote>
  <w:footnote w:type="continuationSeparator" w:id="0">
    <w:p w:rsidR="00D01D60" w:rsidRDefault="00D0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46B"/>
    <w:multiLevelType w:val="hybridMultilevel"/>
    <w:tmpl w:val="9B00C7C8"/>
    <w:lvl w:ilvl="0" w:tplc="89FE7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F7C"/>
    <w:multiLevelType w:val="hybridMultilevel"/>
    <w:tmpl w:val="CC04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A35C5"/>
    <w:multiLevelType w:val="hybridMultilevel"/>
    <w:tmpl w:val="1210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70F11"/>
    <w:multiLevelType w:val="hybridMultilevel"/>
    <w:tmpl w:val="9B00C7C8"/>
    <w:lvl w:ilvl="0" w:tplc="89FE7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200E"/>
    <w:multiLevelType w:val="hybridMultilevel"/>
    <w:tmpl w:val="EA62514A"/>
    <w:lvl w:ilvl="0" w:tplc="18DC18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DC63CE"/>
    <w:multiLevelType w:val="hybridMultilevel"/>
    <w:tmpl w:val="6952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51FEA"/>
    <w:multiLevelType w:val="hybridMultilevel"/>
    <w:tmpl w:val="F8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5549C"/>
    <w:multiLevelType w:val="hybridMultilevel"/>
    <w:tmpl w:val="64A45B98"/>
    <w:lvl w:ilvl="0" w:tplc="89FE7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B36BE"/>
    <w:multiLevelType w:val="hybridMultilevel"/>
    <w:tmpl w:val="9B00C7C8"/>
    <w:lvl w:ilvl="0" w:tplc="89FE7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614AD"/>
    <w:multiLevelType w:val="hybridMultilevel"/>
    <w:tmpl w:val="D6A0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D264E"/>
    <w:multiLevelType w:val="hybridMultilevel"/>
    <w:tmpl w:val="EA62514A"/>
    <w:lvl w:ilvl="0" w:tplc="18DC18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D74162A"/>
    <w:multiLevelType w:val="hybridMultilevel"/>
    <w:tmpl w:val="ED5432C6"/>
    <w:lvl w:ilvl="0" w:tplc="5A08624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sz w:val="24"/>
        <w:szCs w:val="24"/>
      </w:rPr>
    </w:lvl>
    <w:lvl w:ilvl="1" w:tplc="052852D6">
      <w:start w:val="1"/>
      <w:numFmt w:val="lowerLetter"/>
      <w:lvlText w:val="%2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53676DDD"/>
    <w:multiLevelType w:val="hybridMultilevel"/>
    <w:tmpl w:val="102C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D514E"/>
    <w:multiLevelType w:val="hybridMultilevel"/>
    <w:tmpl w:val="B3C2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67148"/>
    <w:multiLevelType w:val="hybridMultilevel"/>
    <w:tmpl w:val="6BE81C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C02529"/>
    <w:multiLevelType w:val="hybridMultilevel"/>
    <w:tmpl w:val="782A6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D29BC"/>
    <w:multiLevelType w:val="hybridMultilevel"/>
    <w:tmpl w:val="26B4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E2213"/>
    <w:multiLevelType w:val="hybridMultilevel"/>
    <w:tmpl w:val="9B00C7C8"/>
    <w:lvl w:ilvl="0" w:tplc="89FE7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F31BD"/>
    <w:multiLevelType w:val="hybridMultilevel"/>
    <w:tmpl w:val="9478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138E1"/>
    <w:multiLevelType w:val="hybridMultilevel"/>
    <w:tmpl w:val="AE8A8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C7826"/>
    <w:multiLevelType w:val="hybridMultilevel"/>
    <w:tmpl w:val="779033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2520F2"/>
    <w:multiLevelType w:val="hybridMultilevel"/>
    <w:tmpl w:val="45F09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5289A"/>
    <w:multiLevelType w:val="hybridMultilevel"/>
    <w:tmpl w:val="9ED4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976EF"/>
    <w:multiLevelType w:val="hybridMultilevel"/>
    <w:tmpl w:val="0906AF22"/>
    <w:lvl w:ilvl="0" w:tplc="89FE7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E77EE"/>
    <w:multiLevelType w:val="hybridMultilevel"/>
    <w:tmpl w:val="8046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A2B00"/>
    <w:multiLevelType w:val="hybridMultilevel"/>
    <w:tmpl w:val="C8E0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B6490"/>
    <w:multiLevelType w:val="hybridMultilevel"/>
    <w:tmpl w:val="8B12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10"/>
  </w:num>
  <w:num w:numId="5">
    <w:abstractNumId w:val="14"/>
  </w:num>
  <w:num w:numId="6">
    <w:abstractNumId w:val="4"/>
  </w:num>
  <w:num w:numId="7">
    <w:abstractNumId w:val="25"/>
  </w:num>
  <w:num w:numId="8">
    <w:abstractNumId w:val="5"/>
  </w:num>
  <w:num w:numId="9">
    <w:abstractNumId w:val="20"/>
  </w:num>
  <w:num w:numId="10">
    <w:abstractNumId w:val="23"/>
  </w:num>
  <w:num w:numId="11">
    <w:abstractNumId w:val="8"/>
  </w:num>
  <w:num w:numId="12">
    <w:abstractNumId w:val="7"/>
  </w:num>
  <w:num w:numId="13">
    <w:abstractNumId w:val="15"/>
  </w:num>
  <w:num w:numId="14">
    <w:abstractNumId w:val="0"/>
  </w:num>
  <w:num w:numId="15">
    <w:abstractNumId w:val="17"/>
  </w:num>
  <w:num w:numId="16">
    <w:abstractNumId w:val="3"/>
  </w:num>
  <w:num w:numId="17">
    <w:abstractNumId w:val="6"/>
  </w:num>
  <w:num w:numId="18">
    <w:abstractNumId w:val="24"/>
  </w:num>
  <w:num w:numId="19">
    <w:abstractNumId w:val="2"/>
  </w:num>
  <w:num w:numId="20">
    <w:abstractNumId w:val="16"/>
  </w:num>
  <w:num w:numId="21">
    <w:abstractNumId w:val="13"/>
  </w:num>
  <w:num w:numId="22">
    <w:abstractNumId w:val="18"/>
  </w:num>
  <w:num w:numId="23">
    <w:abstractNumId w:val="9"/>
  </w:num>
  <w:num w:numId="24">
    <w:abstractNumId w:val="26"/>
  </w:num>
  <w:num w:numId="25">
    <w:abstractNumId w:val="12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A8"/>
    <w:rsid w:val="000109BA"/>
    <w:rsid w:val="00022013"/>
    <w:rsid w:val="00024E6E"/>
    <w:rsid w:val="00032230"/>
    <w:rsid w:val="0003523A"/>
    <w:rsid w:val="000371D3"/>
    <w:rsid w:val="00040F1F"/>
    <w:rsid w:val="0004333C"/>
    <w:rsid w:val="00043482"/>
    <w:rsid w:val="00043F1E"/>
    <w:rsid w:val="000449C8"/>
    <w:rsid w:val="00046ABE"/>
    <w:rsid w:val="0006214B"/>
    <w:rsid w:val="0006584A"/>
    <w:rsid w:val="0006627B"/>
    <w:rsid w:val="00075A89"/>
    <w:rsid w:val="00076E22"/>
    <w:rsid w:val="00080863"/>
    <w:rsid w:val="00096908"/>
    <w:rsid w:val="000B2B30"/>
    <w:rsid w:val="000B5CBC"/>
    <w:rsid w:val="000B74BB"/>
    <w:rsid w:val="000C1025"/>
    <w:rsid w:val="000D1500"/>
    <w:rsid w:val="000D296F"/>
    <w:rsid w:val="000D3231"/>
    <w:rsid w:val="000E1CFB"/>
    <w:rsid w:val="000E3FD7"/>
    <w:rsid w:val="000E5D2A"/>
    <w:rsid w:val="000F7E94"/>
    <w:rsid w:val="001000EB"/>
    <w:rsid w:val="00106413"/>
    <w:rsid w:val="00107243"/>
    <w:rsid w:val="001157EE"/>
    <w:rsid w:val="00121E42"/>
    <w:rsid w:val="001258BF"/>
    <w:rsid w:val="00126045"/>
    <w:rsid w:val="00131054"/>
    <w:rsid w:val="00131809"/>
    <w:rsid w:val="00141182"/>
    <w:rsid w:val="00160F35"/>
    <w:rsid w:val="00161312"/>
    <w:rsid w:val="0016357B"/>
    <w:rsid w:val="0016754C"/>
    <w:rsid w:val="00180800"/>
    <w:rsid w:val="00194081"/>
    <w:rsid w:val="001A09A4"/>
    <w:rsid w:val="001C0AF3"/>
    <w:rsid w:val="001C59CC"/>
    <w:rsid w:val="001D048D"/>
    <w:rsid w:val="001E6B82"/>
    <w:rsid w:val="001F2356"/>
    <w:rsid w:val="0020205D"/>
    <w:rsid w:val="00203036"/>
    <w:rsid w:val="0020726C"/>
    <w:rsid w:val="002107F3"/>
    <w:rsid w:val="00212E8B"/>
    <w:rsid w:val="00225CCE"/>
    <w:rsid w:val="002376A7"/>
    <w:rsid w:val="00245F39"/>
    <w:rsid w:val="00245F56"/>
    <w:rsid w:val="00260458"/>
    <w:rsid w:val="00266E75"/>
    <w:rsid w:val="002813C8"/>
    <w:rsid w:val="0028474E"/>
    <w:rsid w:val="0029729B"/>
    <w:rsid w:val="00297EC3"/>
    <w:rsid w:val="002A2F4B"/>
    <w:rsid w:val="002B0C33"/>
    <w:rsid w:val="002C4301"/>
    <w:rsid w:val="002D54FA"/>
    <w:rsid w:val="002D6CE4"/>
    <w:rsid w:val="002E591E"/>
    <w:rsid w:val="002F49B6"/>
    <w:rsid w:val="002F52CE"/>
    <w:rsid w:val="002F6188"/>
    <w:rsid w:val="002F6AEA"/>
    <w:rsid w:val="003003B0"/>
    <w:rsid w:val="00313792"/>
    <w:rsid w:val="00322CB6"/>
    <w:rsid w:val="00324DB3"/>
    <w:rsid w:val="00331DD5"/>
    <w:rsid w:val="00354DE2"/>
    <w:rsid w:val="0035570F"/>
    <w:rsid w:val="00356AB2"/>
    <w:rsid w:val="003677FD"/>
    <w:rsid w:val="00381611"/>
    <w:rsid w:val="00382160"/>
    <w:rsid w:val="00382CE4"/>
    <w:rsid w:val="00395114"/>
    <w:rsid w:val="003A1BDD"/>
    <w:rsid w:val="003A25B0"/>
    <w:rsid w:val="003B287C"/>
    <w:rsid w:val="003B43A5"/>
    <w:rsid w:val="003B4B95"/>
    <w:rsid w:val="003D2E45"/>
    <w:rsid w:val="003D5E6B"/>
    <w:rsid w:val="003E4E19"/>
    <w:rsid w:val="003F3E0A"/>
    <w:rsid w:val="003F7998"/>
    <w:rsid w:val="003F79EC"/>
    <w:rsid w:val="00400BEB"/>
    <w:rsid w:val="0042180E"/>
    <w:rsid w:val="004249C8"/>
    <w:rsid w:val="00430EC3"/>
    <w:rsid w:val="00433865"/>
    <w:rsid w:val="00446FDF"/>
    <w:rsid w:val="0045158E"/>
    <w:rsid w:val="00452EE5"/>
    <w:rsid w:val="0046034A"/>
    <w:rsid w:val="00460F1B"/>
    <w:rsid w:val="004650C7"/>
    <w:rsid w:val="004901FA"/>
    <w:rsid w:val="00493CD4"/>
    <w:rsid w:val="004A02AB"/>
    <w:rsid w:val="004B035A"/>
    <w:rsid w:val="004B3F06"/>
    <w:rsid w:val="004B648E"/>
    <w:rsid w:val="004D3C09"/>
    <w:rsid w:val="004E3899"/>
    <w:rsid w:val="004F60BD"/>
    <w:rsid w:val="00505AF9"/>
    <w:rsid w:val="005142D8"/>
    <w:rsid w:val="005166A2"/>
    <w:rsid w:val="00521198"/>
    <w:rsid w:val="0053378A"/>
    <w:rsid w:val="005352A7"/>
    <w:rsid w:val="00541F40"/>
    <w:rsid w:val="00546E65"/>
    <w:rsid w:val="005609A3"/>
    <w:rsid w:val="005638FF"/>
    <w:rsid w:val="00563F5A"/>
    <w:rsid w:val="00572BA8"/>
    <w:rsid w:val="0058245B"/>
    <w:rsid w:val="0058320A"/>
    <w:rsid w:val="0058375D"/>
    <w:rsid w:val="00583A78"/>
    <w:rsid w:val="00586D49"/>
    <w:rsid w:val="00587AFD"/>
    <w:rsid w:val="00587CEC"/>
    <w:rsid w:val="00590AB3"/>
    <w:rsid w:val="005A0447"/>
    <w:rsid w:val="005A0BBA"/>
    <w:rsid w:val="005A2671"/>
    <w:rsid w:val="005A4340"/>
    <w:rsid w:val="005A58B8"/>
    <w:rsid w:val="005B2F7E"/>
    <w:rsid w:val="005C63A1"/>
    <w:rsid w:val="005F2A90"/>
    <w:rsid w:val="00613782"/>
    <w:rsid w:val="00613AA5"/>
    <w:rsid w:val="00621D71"/>
    <w:rsid w:val="00624525"/>
    <w:rsid w:val="0063351D"/>
    <w:rsid w:val="00642487"/>
    <w:rsid w:val="0065638A"/>
    <w:rsid w:val="00656C26"/>
    <w:rsid w:val="00675393"/>
    <w:rsid w:val="00677EC4"/>
    <w:rsid w:val="00686944"/>
    <w:rsid w:val="00691AFB"/>
    <w:rsid w:val="006A3EDB"/>
    <w:rsid w:val="006B1025"/>
    <w:rsid w:val="006C1A8A"/>
    <w:rsid w:val="006C51E3"/>
    <w:rsid w:val="006C5A73"/>
    <w:rsid w:val="006D0DDC"/>
    <w:rsid w:val="006D4F04"/>
    <w:rsid w:val="006D6657"/>
    <w:rsid w:val="006D77BE"/>
    <w:rsid w:val="006E7932"/>
    <w:rsid w:val="006F1085"/>
    <w:rsid w:val="006F3FF0"/>
    <w:rsid w:val="00706479"/>
    <w:rsid w:val="0071468B"/>
    <w:rsid w:val="007146F7"/>
    <w:rsid w:val="0072759A"/>
    <w:rsid w:val="00731799"/>
    <w:rsid w:val="00733038"/>
    <w:rsid w:val="00736475"/>
    <w:rsid w:val="00745CAC"/>
    <w:rsid w:val="007507F6"/>
    <w:rsid w:val="00766DB0"/>
    <w:rsid w:val="00767D2E"/>
    <w:rsid w:val="00767F64"/>
    <w:rsid w:val="00770B46"/>
    <w:rsid w:val="007775CD"/>
    <w:rsid w:val="00787EF3"/>
    <w:rsid w:val="007A74C3"/>
    <w:rsid w:val="007B1FAB"/>
    <w:rsid w:val="007B50B8"/>
    <w:rsid w:val="007B511B"/>
    <w:rsid w:val="007B7A05"/>
    <w:rsid w:val="007C6965"/>
    <w:rsid w:val="007D2FD1"/>
    <w:rsid w:val="007E2B27"/>
    <w:rsid w:val="007E2F05"/>
    <w:rsid w:val="007E6060"/>
    <w:rsid w:val="007F3314"/>
    <w:rsid w:val="007F5D25"/>
    <w:rsid w:val="00803ABB"/>
    <w:rsid w:val="00806996"/>
    <w:rsid w:val="008076AC"/>
    <w:rsid w:val="00810A06"/>
    <w:rsid w:val="00815538"/>
    <w:rsid w:val="00824D3B"/>
    <w:rsid w:val="00854F6F"/>
    <w:rsid w:val="00875580"/>
    <w:rsid w:val="00880C94"/>
    <w:rsid w:val="00890F7C"/>
    <w:rsid w:val="008A21A5"/>
    <w:rsid w:val="008B31D0"/>
    <w:rsid w:val="008B4AD5"/>
    <w:rsid w:val="008B6302"/>
    <w:rsid w:val="008B6E58"/>
    <w:rsid w:val="008B78A5"/>
    <w:rsid w:val="008D4284"/>
    <w:rsid w:val="008D5912"/>
    <w:rsid w:val="008D6017"/>
    <w:rsid w:val="008E077F"/>
    <w:rsid w:val="008E2131"/>
    <w:rsid w:val="008F732E"/>
    <w:rsid w:val="00900126"/>
    <w:rsid w:val="00900D22"/>
    <w:rsid w:val="009032F0"/>
    <w:rsid w:val="009059E9"/>
    <w:rsid w:val="009126A0"/>
    <w:rsid w:val="00926794"/>
    <w:rsid w:val="00936476"/>
    <w:rsid w:val="00942B12"/>
    <w:rsid w:val="00943FDE"/>
    <w:rsid w:val="009452D5"/>
    <w:rsid w:val="009508F0"/>
    <w:rsid w:val="00953274"/>
    <w:rsid w:val="009566E9"/>
    <w:rsid w:val="00964832"/>
    <w:rsid w:val="00967B4A"/>
    <w:rsid w:val="00983A6B"/>
    <w:rsid w:val="00987A5D"/>
    <w:rsid w:val="009A4C7E"/>
    <w:rsid w:val="009A550E"/>
    <w:rsid w:val="009B11EF"/>
    <w:rsid w:val="009B6A68"/>
    <w:rsid w:val="009B6BF0"/>
    <w:rsid w:val="009D159D"/>
    <w:rsid w:val="009E7FD6"/>
    <w:rsid w:val="009F3CCA"/>
    <w:rsid w:val="009F589E"/>
    <w:rsid w:val="00A01289"/>
    <w:rsid w:val="00A013DE"/>
    <w:rsid w:val="00A0333F"/>
    <w:rsid w:val="00A07B20"/>
    <w:rsid w:val="00A07FB7"/>
    <w:rsid w:val="00A10293"/>
    <w:rsid w:val="00A44385"/>
    <w:rsid w:val="00A531F9"/>
    <w:rsid w:val="00A53309"/>
    <w:rsid w:val="00A621D8"/>
    <w:rsid w:val="00A66918"/>
    <w:rsid w:val="00A70BA8"/>
    <w:rsid w:val="00A83D21"/>
    <w:rsid w:val="00A9475D"/>
    <w:rsid w:val="00AA1E91"/>
    <w:rsid w:val="00AB3712"/>
    <w:rsid w:val="00AC094C"/>
    <w:rsid w:val="00AC1715"/>
    <w:rsid w:val="00AC2360"/>
    <w:rsid w:val="00AC3E82"/>
    <w:rsid w:val="00AE0F11"/>
    <w:rsid w:val="00AE1761"/>
    <w:rsid w:val="00AE306E"/>
    <w:rsid w:val="00AE5080"/>
    <w:rsid w:val="00AE5CDE"/>
    <w:rsid w:val="00AF7B63"/>
    <w:rsid w:val="00B15910"/>
    <w:rsid w:val="00B24B20"/>
    <w:rsid w:val="00B26BB2"/>
    <w:rsid w:val="00B53910"/>
    <w:rsid w:val="00B53CB9"/>
    <w:rsid w:val="00B71779"/>
    <w:rsid w:val="00B744FA"/>
    <w:rsid w:val="00B81600"/>
    <w:rsid w:val="00B81743"/>
    <w:rsid w:val="00B90F0E"/>
    <w:rsid w:val="00B945C6"/>
    <w:rsid w:val="00BA35DC"/>
    <w:rsid w:val="00BA5FB7"/>
    <w:rsid w:val="00BA6F1C"/>
    <w:rsid w:val="00BB304C"/>
    <w:rsid w:val="00BB3181"/>
    <w:rsid w:val="00BB4C32"/>
    <w:rsid w:val="00BC131A"/>
    <w:rsid w:val="00BC34F0"/>
    <w:rsid w:val="00BC74EA"/>
    <w:rsid w:val="00BD23F3"/>
    <w:rsid w:val="00BD36FC"/>
    <w:rsid w:val="00BE0FC7"/>
    <w:rsid w:val="00BE20CD"/>
    <w:rsid w:val="00BE2EC8"/>
    <w:rsid w:val="00BE4A2E"/>
    <w:rsid w:val="00BF0862"/>
    <w:rsid w:val="00BF7A9F"/>
    <w:rsid w:val="00BF7E20"/>
    <w:rsid w:val="00C04F5F"/>
    <w:rsid w:val="00C106BA"/>
    <w:rsid w:val="00C14A66"/>
    <w:rsid w:val="00C34B74"/>
    <w:rsid w:val="00C402CD"/>
    <w:rsid w:val="00C42046"/>
    <w:rsid w:val="00C61483"/>
    <w:rsid w:val="00C62607"/>
    <w:rsid w:val="00C66965"/>
    <w:rsid w:val="00C73878"/>
    <w:rsid w:val="00C75B3C"/>
    <w:rsid w:val="00C777C4"/>
    <w:rsid w:val="00C93FA8"/>
    <w:rsid w:val="00C95ABF"/>
    <w:rsid w:val="00CA1151"/>
    <w:rsid w:val="00CA285C"/>
    <w:rsid w:val="00CA3398"/>
    <w:rsid w:val="00CA51E2"/>
    <w:rsid w:val="00CA6C2F"/>
    <w:rsid w:val="00CB5B85"/>
    <w:rsid w:val="00CC2B94"/>
    <w:rsid w:val="00CC4D65"/>
    <w:rsid w:val="00CD3C62"/>
    <w:rsid w:val="00CD5B24"/>
    <w:rsid w:val="00CD6155"/>
    <w:rsid w:val="00CE01A1"/>
    <w:rsid w:val="00CE66FD"/>
    <w:rsid w:val="00D01D60"/>
    <w:rsid w:val="00D105B3"/>
    <w:rsid w:val="00D406A6"/>
    <w:rsid w:val="00D42375"/>
    <w:rsid w:val="00D42415"/>
    <w:rsid w:val="00D44DC6"/>
    <w:rsid w:val="00D53F58"/>
    <w:rsid w:val="00D54972"/>
    <w:rsid w:val="00D60601"/>
    <w:rsid w:val="00D63EF4"/>
    <w:rsid w:val="00D67BBA"/>
    <w:rsid w:val="00D73E6A"/>
    <w:rsid w:val="00D76818"/>
    <w:rsid w:val="00D829A3"/>
    <w:rsid w:val="00D93B37"/>
    <w:rsid w:val="00DA2F23"/>
    <w:rsid w:val="00DA5255"/>
    <w:rsid w:val="00DA698A"/>
    <w:rsid w:val="00DA74CB"/>
    <w:rsid w:val="00DC009F"/>
    <w:rsid w:val="00DC30EF"/>
    <w:rsid w:val="00DD0378"/>
    <w:rsid w:val="00DD1289"/>
    <w:rsid w:val="00DE40DC"/>
    <w:rsid w:val="00DF5AAE"/>
    <w:rsid w:val="00E0146E"/>
    <w:rsid w:val="00E0335B"/>
    <w:rsid w:val="00E052AB"/>
    <w:rsid w:val="00E06606"/>
    <w:rsid w:val="00E1004E"/>
    <w:rsid w:val="00E12433"/>
    <w:rsid w:val="00E24844"/>
    <w:rsid w:val="00E253A6"/>
    <w:rsid w:val="00E26A77"/>
    <w:rsid w:val="00E30B1F"/>
    <w:rsid w:val="00E32700"/>
    <w:rsid w:val="00E338D5"/>
    <w:rsid w:val="00E3610F"/>
    <w:rsid w:val="00E44EB9"/>
    <w:rsid w:val="00E50A4A"/>
    <w:rsid w:val="00E52240"/>
    <w:rsid w:val="00E52EC8"/>
    <w:rsid w:val="00E61AA0"/>
    <w:rsid w:val="00E64560"/>
    <w:rsid w:val="00E70353"/>
    <w:rsid w:val="00E72EE1"/>
    <w:rsid w:val="00E81B1B"/>
    <w:rsid w:val="00E83EBF"/>
    <w:rsid w:val="00E84592"/>
    <w:rsid w:val="00E84F5D"/>
    <w:rsid w:val="00E871C0"/>
    <w:rsid w:val="00E94C95"/>
    <w:rsid w:val="00E95BC2"/>
    <w:rsid w:val="00EA2C39"/>
    <w:rsid w:val="00EA429A"/>
    <w:rsid w:val="00EA7A68"/>
    <w:rsid w:val="00EB0742"/>
    <w:rsid w:val="00EB336B"/>
    <w:rsid w:val="00EB7621"/>
    <w:rsid w:val="00EC2F5F"/>
    <w:rsid w:val="00EC4AAF"/>
    <w:rsid w:val="00EC73E4"/>
    <w:rsid w:val="00ED58EC"/>
    <w:rsid w:val="00ED5DED"/>
    <w:rsid w:val="00ED635B"/>
    <w:rsid w:val="00EE7990"/>
    <w:rsid w:val="00F03FB4"/>
    <w:rsid w:val="00F142C4"/>
    <w:rsid w:val="00F307D2"/>
    <w:rsid w:val="00F311A5"/>
    <w:rsid w:val="00F32737"/>
    <w:rsid w:val="00F366AF"/>
    <w:rsid w:val="00F36E99"/>
    <w:rsid w:val="00F37B24"/>
    <w:rsid w:val="00F536E3"/>
    <w:rsid w:val="00F57FEB"/>
    <w:rsid w:val="00F60111"/>
    <w:rsid w:val="00F61599"/>
    <w:rsid w:val="00F634A4"/>
    <w:rsid w:val="00F71E92"/>
    <w:rsid w:val="00F829DF"/>
    <w:rsid w:val="00F84544"/>
    <w:rsid w:val="00F8480A"/>
    <w:rsid w:val="00F84E91"/>
    <w:rsid w:val="00F90F63"/>
    <w:rsid w:val="00F92F8E"/>
    <w:rsid w:val="00F96884"/>
    <w:rsid w:val="00FA2780"/>
    <w:rsid w:val="00FB04CF"/>
    <w:rsid w:val="00FB0AE9"/>
    <w:rsid w:val="00FB5370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F5D"/>
  </w:style>
  <w:style w:type="paragraph" w:styleId="Heading6">
    <w:name w:val="heading 6"/>
    <w:basedOn w:val="Normal"/>
    <w:next w:val="Normal"/>
    <w:qFormat/>
    <w:rsid w:val="00ED58EC"/>
    <w:pPr>
      <w:keepNext/>
      <w:tabs>
        <w:tab w:val="left" w:pos="450"/>
        <w:tab w:val="left" w:pos="8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D58EC"/>
    <w:pPr>
      <w:tabs>
        <w:tab w:val="left" w:pos="720"/>
      </w:tabs>
      <w:suppressAutoHyphens/>
      <w:ind w:left="720" w:hanging="360"/>
    </w:pPr>
    <w:rPr>
      <w:rFonts w:ascii="Arial" w:hAnsi="Arial"/>
      <w:spacing w:val="-2"/>
      <w:sz w:val="24"/>
    </w:rPr>
  </w:style>
  <w:style w:type="character" w:customStyle="1" w:styleId="BodyTextChar3CharCharCharCharCharCharCharCharChar">
    <w:name w:val="Body Text Char3 Char Char Char Char Char Char Char Char Char"/>
    <w:aliases w:val="bt Char1 Char Char Char Char Char Char Char Char Char,body text Char Char Char Char Char Char Char Char Char Char"/>
    <w:basedOn w:val="DefaultParagraphFont"/>
    <w:rsid w:val="00ED58EC"/>
    <w:rPr>
      <w:rFonts w:ascii="Arial" w:hAnsi="Arial" w:cs="Arial"/>
      <w:spacing w:val="-5"/>
      <w:lang w:val="en-US" w:eastAsia="en-US"/>
    </w:rPr>
  </w:style>
  <w:style w:type="paragraph" w:styleId="Header">
    <w:name w:val="header"/>
    <w:basedOn w:val="Normal"/>
    <w:rsid w:val="00ED5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58E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1000EB"/>
    <w:rPr>
      <w:sz w:val="16"/>
      <w:szCs w:val="16"/>
    </w:rPr>
  </w:style>
  <w:style w:type="paragraph" w:styleId="CommentText">
    <w:name w:val="annotation text"/>
    <w:basedOn w:val="Normal"/>
    <w:semiHidden/>
    <w:rsid w:val="001000EB"/>
  </w:style>
  <w:style w:type="paragraph" w:styleId="CommentSubject">
    <w:name w:val="annotation subject"/>
    <w:basedOn w:val="CommentText"/>
    <w:next w:val="CommentText"/>
    <w:semiHidden/>
    <w:rsid w:val="001000EB"/>
    <w:rPr>
      <w:b/>
      <w:bCs/>
    </w:rPr>
  </w:style>
  <w:style w:type="paragraph" w:styleId="BalloonText">
    <w:name w:val="Balloon Text"/>
    <w:basedOn w:val="Normal"/>
    <w:semiHidden/>
    <w:rsid w:val="001000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35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ageNumber">
    <w:name w:val="page number"/>
    <w:basedOn w:val="DefaultParagraphFont"/>
    <w:rsid w:val="00824D3B"/>
  </w:style>
  <w:style w:type="character" w:customStyle="1" w:styleId="st">
    <w:name w:val="st"/>
    <w:basedOn w:val="DefaultParagraphFont"/>
    <w:rsid w:val="00745CAC"/>
  </w:style>
  <w:style w:type="character" w:styleId="Emphasis">
    <w:name w:val="Emphasis"/>
    <w:basedOn w:val="DefaultParagraphFont"/>
    <w:uiPriority w:val="20"/>
    <w:qFormat/>
    <w:rsid w:val="00745CAC"/>
    <w:rPr>
      <w:i/>
      <w:iCs/>
    </w:rPr>
  </w:style>
  <w:style w:type="character" w:styleId="Hyperlink">
    <w:name w:val="Hyperlink"/>
    <w:basedOn w:val="DefaultParagraphFont"/>
    <w:uiPriority w:val="99"/>
    <w:unhideWhenUsed/>
    <w:rsid w:val="00745CA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7EC4"/>
    <w:rPr>
      <w:rFonts w:ascii="Calibri" w:eastAsiaTheme="minorHAnsi" w:hAnsi="Calibri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7EC4"/>
    <w:rPr>
      <w:rFonts w:ascii="Calibri" w:eastAsiaTheme="minorHAnsi" w:hAnsi="Calibri" w:cs="Calibri"/>
      <w:sz w:val="21"/>
      <w:szCs w:val="21"/>
    </w:rPr>
  </w:style>
  <w:style w:type="paragraph" w:styleId="FootnoteText">
    <w:name w:val="footnote text"/>
    <w:basedOn w:val="Normal"/>
    <w:link w:val="FootnoteTextChar"/>
    <w:rsid w:val="00677EC4"/>
  </w:style>
  <w:style w:type="character" w:customStyle="1" w:styleId="FootnoteTextChar">
    <w:name w:val="Footnote Text Char"/>
    <w:basedOn w:val="DefaultParagraphFont"/>
    <w:link w:val="FootnoteText"/>
    <w:rsid w:val="00677EC4"/>
  </w:style>
  <w:style w:type="character" w:styleId="FootnoteReference">
    <w:name w:val="footnote reference"/>
    <w:basedOn w:val="DefaultParagraphFont"/>
    <w:rsid w:val="00677EC4"/>
    <w:rPr>
      <w:vertAlign w:val="superscript"/>
    </w:rPr>
  </w:style>
  <w:style w:type="paragraph" w:styleId="EndnoteText">
    <w:name w:val="endnote text"/>
    <w:basedOn w:val="Normal"/>
    <w:link w:val="EndnoteTextChar"/>
    <w:rsid w:val="00FB5370"/>
  </w:style>
  <w:style w:type="character" w:customStyle="1" w:styleId="EndnoteTextChar">
    <w:name w:val="Endnote Text Char"/>
    <w:basedOn w:val="DefaultParagraphFont"/>
    <w:link w:val="EndnoteText"/>
    <w:rsid w:val="00FB5370"/>
  </w:style>
  <w:style w:type="character" w:styleId="EndnoteReference">
    <w:name w:val="endnote reference"/>
    <w:basedOn w:val="DefaultParagraphFont"/>
    <w:rsid w:val="00FB53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621D8"/>
    <w:pPr>
      <w:ind w:left="720"/>
      <w:contextualSpacing/>
    </w:pPr>
  </w:style>
  <w:style w:type="paragraph" w:styleId="NoSpacing">
    <w:name w:val="No Spacing"/>
    <w:uiPriority w:val="1"/>
    <w:qFormat/>
    <w:rsid w:val="001A09A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7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61AA0"/>
  </w:style>
  <w:style w:type="character" w:customStyle="1" w:styleId="apple-converted-space">
    <w:name w:val="apple-converted-space"/>
    <w:basedOn w:val="DefaultParagraphFont"/>
    <w:rsid w:val="00BB304C"/>
  </w:style>
  <w:style w:type="character" w:customStyle="1" w:styleId="il">
    <w:name w:val="il"/>
    <w:basedOn w:val="DefaultParagraphFont"/>
    <w:rsid w:val="00BB304C"/>
  </w:style>
  <w:style w:type="paragraph" w:styleId="NormalWeb">
    <w:name w:val="Normal (Web)"/>
    <w:basedOn w:val="Normal"/>
    <w:uiPriority w:val="99"/>
    <w:unhideWhenUsed/>
    <w:rsid w:val="00BB304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F5D"/>
  </w:style>
  <w:style w:type="paragraph" w:styleId="Heading6">
    <w:name w:val="heading 6"/>
    <w:basedOn w:val="Normal"/>
    <w:next w:val="Normal"/>
    <w:qFormat/>
    <w:rsid w:val="00ED58EC"/>
    <w:pPr>
      <w:keepNext/>
      <w:tabs>
        <w:tab w:val="left" w:pos="450"/>
        <w:tab w:val="left" w:pos="8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D58EC"/>
    <w:pPr>
      <w:tabs>
        <w:tab w:val="left" w:pos="720"/>
      </w:tabs>
      <w:suppressAutoHyphens/>
      <w:ind w:left="720" w:hanging="360"/>
    </w:pPr>
    <w:rPr>
      <w:rFonts w:ascii="Arial" w:hAnsi="Arial"/>
      <w:spacing w:val="-2"/>
      <w:sz w:val="24"/>
    </w:rPr>
  </w:style>
  <w:style w:type="character" w:customStyle="1" w:styleId="BodyTextChar3CharCharCharCharCharCharCharCharChar">
    <w:name w:val="Body Text Char3 Char Char Char Char Char Char Char Char Char"/>
    <w:aliases w:val="bt Char1 Char Char Char Char Char Char Char Char Char,body text Char Char Char Char Char Char Char Char Char Char"/>
    <w:basedOn w:val="DefaultParagraphFont"/>
    <w:rsid w:val="00ED58EC"/>
    <w:rPr>
      <w:rFonts w:ascii="Arial" w:hAnsi="Arial" w:cs="Arial"/>
      <w:spacing w:val="-5"/>
      <w:lang w:val="en-US" w:eastAsia="en-US"/>
    </w:rPr>
  </w:style>
  <w:style w:type="paragraph" w:styleId="Header">
    <w:name w:val="header"/>
    <w:basedOn w:val="Normal"/>
    <w:rsid w:val="00ED5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58E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1000EB"/>
    <w:rPr>
      <w:sz w:val="16"/>
      <w:szCs w:val="16"/>
    </w:rPr>
  </w:style>
  <w:style w:type="paragraph" w:styleId="CommentText">
    <w:name w:val="annotation text"/>
    <w:basedOn w:val="Normal"/>
    <w:semiHidden/>
    <w:rsid w:val="001000EB"/>
  </w:style>
  <w:style w:type="paragraph" w:styleId="CommentSubject">
    <w:name w:val="annotation subject"/>
    <w:basedOn w:val="CommentText"/>
    <w:next w:val="CommentText"/>
    <w:semiHidden/>
    <w:rsid w:val="001000EB"/>
    <w:rPr>
      <w:b/>
      <w:bCs/>
    </w:rPr>
  </w:style>
  <w:style w:type="paragraph" w:styleId="BalloonText">
    <w:name w:val="Balloon Text"/>
    <w:basedOn w:val="Normal"/>
    <w:semiHidden/>
    <w:rsid w:val="001000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35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ageNumber">
    <w:name w:val="page number"/>
    <w:basedOn w:val="DefaultParagraphFont"/>
    <w:rsid w:val="00824D3B"/>
  </w:style>
  <w:style w:type="character" w:customStyle="1" w:styleId="st">
    <w:name w:val="st"/>
    <w:basedOn w:val="DefaultParagraphFont"/>
    <w:rsid w:val="00745CAC"/>
  </w:style>
  <w:style w:type="character" w:styleId="Emphasis">
    <w:name w:val="Emphasis"/>
    <w:basedOn w:val="DefaultParagraphFont"/>
    <w:uiPriority w:val="20"/>
    <w:qFormat/>
    <w:rsid w:val="00745CAC"/>
    <w:rPr>
      <w:i/>
      <w:iCs/>
    </w:rPr>
  </w:style>
  <w:style w:type="character" w:styleId="Hyperlink">
    <w:name w:val="Hyperlink"/>
    <w:basedOn w:val="DefaultParagraphFont"/>
    <w:uiPriority w:val="99"/>
    <w:unhideWhenUsed/>
    <w:rsid w:val="00745CA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7EC4"/>
    <w:rPr>
      <w:rFonts w:ascii="Calibri" w:eastAsiaTheme="minorHAnsi" w:hAnsi="Calibri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7EC4"/>
    <w:rPr>
      <w:rFonts w:ascii="Calibri" w:eastAsiaTheme="minorHAnsi" w:hAnsi="Calibri" w:cs="Calibri"/>
      <w:sz w:val="21"/>
      <w:szCs w:val="21"/>
    </w:rPr>
  </w:style>
  <w:style w:type="paragraph" w:styleId="FootnoteText">
    <w:name w:val="footnote text"/>
    <w:basedOn w:val="Normal"/>
    <w:link w:val="FootnoteTextChar"/>
    <w:rsid w:val="00677EC4"/>
  </w:style>
  <w:style w:type="character" w:customStyle="1" w:styleId="FootnoteTextChar">
    <w:name w:val="Footnote Text Char"/>
    <w:basedOn w:val="DefaultParagraphFont"/>
    <w:link w:val="FootnoteText"/>
    <w:rsid w:val="00677EC4"/>
  </w:style>
  <w:style w:type="character" w:styleId="FootnoteReference">
    <w:name w:val="footnote reference"/>
    <w:basedOn w:val="DefaultParagraphFont"/>
    <w:rsid w:val="00677EC4"/>
    <w:rPr>
      <w:vertAlign w:val="superscript"/>
    </w:rPr>
  </w:style>
  <w:style w:type="paragraph" w:styleId="EndnoteText">
    <w:name w:val="endnote text"/>
    <w:basedOn w:val="Normal"/>
    <w:link w:val="EndnoteTextChar"/>
    <w:rsid w:val="00FB5370"/>
  </w:style>
  <w:style w:type="character" w:customStyle="1" w:styleId="EndnoteTextChar">
    <w:name w:val="Endnote Text Char"/>
    <w:basedOn w:val="DefaultParagraphFont"/>
    <w:link w:val="EndnoteText"/>
    <w:rsid w:val="00FB5370"/>
  </w:style>
  <w:style w:type="character" w:styleId="EndnoteReference">
    <w:name w:val="endnote reference"/>
    <w:basedOn w:val="DefaultParagraphFont"/>
    <w:rsid w:val="00FB53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621D8"/>
    <w:pPr>
      <w:ind w:left="720"/>
      <w:contextualSpacing/>
    </w:pPr>
  </w:style>
  <w:style w:type="paragraph" w:styleId="NoSpacing">
    <w:name w:val="No Spacing"/>
    <w:uiPriority w:val="1"/>
    <w:qFormat/>
    <w:rsid w:val="001A09A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7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61AA0"/>
  </w:style>
  <w:style w:type="character" w:customStyle="1" w:styleId="apple-converted-space">
    <w:name w:val="apple-converted-space"/>
    <w:basedOn w:val="DefaultParagraphFont"/>
    <w:rsid w:val="00BB304C"/>
  </w:style>
  <w:style w:type="character" w:customStyle="1" w:styleId="il">
    <w:name w:val="il"/>
    <w:basedOn w:val="DefaultParagraphFont"/>
    <w:rsid w:val="00BB304C"/>
  </w:style>
  <w:style w:type="paragraph" w:styleId="NormalWeb">
    <w:name w:val="Normal (Web)"/>
    <w:basedOn w:val="Normal"/>
    <w:uiPriority w:val="99"/>
    <w:unhideWhenUsed/>
    <w:rsid w:val="00BB30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no021\Desktop\Projects\SHADAC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D9E3-5F1B-4825-AA55-5D7F0582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SHADAC memo template</Template>
  <TotalTime>8</TotalTime>
  <Pages>5</Pages>
  <Words>1468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>State of Oregon - DAS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cp:lastModifiedBy>Samuel T Patnoe</cp:lastModifiedBy>
  <cp:revision>5</cp:revision>
  <cp:lastPrinted>2014-05-19T19:25:00Z</cp:lastPrinted>
  <dcterms:created xsi:type="dcterms:W3CDTF">2014-05-21T13:25:00Z</dcterms:created>
  <dcterms:modified xsi:type="dcterms:W3CDTF">2014-05-21T13:33:00Z</dcterms:modified>
</cp:coreProperties>
</file>